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6253" w14:textId="77777777" w:rsidR="00822C48" w:rsidRPr="004A41EA" w:rsidRDefault="003C04EB" w:rsidP="00AC4585">
      <w:pPr>
        <w:pStyle w:val="Title"/>
        <w:spacing w:line="240" w:lineRule="auto"/>
      </w:pPr>
      <w:r w:rsidRPr="004A41EA">
        <w:t>Media Release</w:t>
      </w:r>
      <w:bookmarkStart w:id="0" w:name="_GoBack"/>
      <w:bookmarkEnd w:id="0"/>
    </w:p>
    <w:p w14:paraId="73CAB9BB" w14:textId="61F7545B" w:rsidR="00961212" w:rsidRPr="004A41EA" w:rsidRDefault="006D1544" w:rsidP="00AC4585">
      <w:pPr>
        <w:pStyle w:val="Heading4"/>
        <w:spacing w:line="240" w:lineRule="auto"/>
      </w:pPr>
      <w:r>
        <w:t>28</w:t>
      </w:r>
      <w:r w:rsidR="00CF58F2">
        <w:t xml:space="preserve"> February 2019</w:t>
      </w:r>
    </w:p>
    <w:p w14:paraId="434421E3" w14:textId="77777777" w:rsidR="00B5613A" w:rsidRPr="00B5613A" w:rsidRDefault="001B6EA2" w:rsidP="00AC4585">
      <w:pPr>
        <w:spacing w:line="240" w:lineRule="auto"/>
        <w:jc w:val="center"/>
        <w:rPr>
          <w:b/>
          <w:color w:val="003057"/>
          <w:sz w:val="28"/>
          <w:szCs w:val="28"/>
        </w:rPr>
      </w:pPr>
      <w:r>
        <w:rPr>
          <w:b/>
          <w:color w:val="003057"/>
          <w:sz w:val="28"/>
          <w:szCs w:val="28"/>
        </w:rPr>
        <w:t>Palliative Care Australia Welcomes Updated National Palliative Care Strategy</w:t>
      </w:r>
    </w:p>
    <w:p w14:paraId="27D4CB1F" w14:textId="686C0684" w:rsidR="00B5613A" w:rsidRDefault="001B6EA2" w:rsidP="005D1045">
      <w:pPr>
        <w:spacing w:line="240" w:lineRule="auto"/>
        <w:rPr>
          <w:b/>
        </w:rPr>
      </w:pPr>
      <w:r>
        <w:rPr>
          <w:b/>
        </w:rPr>
        <w:t xml:space="preserve">Palliative Care Australia (PCA) </w:t>
      </w:r>
      <w:r w:rsidR="00137686">
        <w:rPr>
          <w:b/>
        </w:rPr>
        <w:t>CEO Rohan Greenland</w:t>
      </w:r>
      <w:r>
        <w:rPr>
          <w:b/>
        </w:rPr>
        <w:t xml:space="preserve"> says the updated </w:t>
      </w:r>
      <w:hyperlink r:id="rId8" w:history="1">
        <w:r w:rsidRPr="00B169C2">
          <w:rPr>
            <w:rStyle w:val="Hyperlink"/>
            <w:b/>
          </w:rPr>
          <w:t>National Palliative Care Strategy</w:t>
        </w:r>
      </w:hyperlink>
      <w:r>
        <w:rPr>
          <w:b/>
        </w:rPr>
        <w:t xml:space="preserve"> released by </w:t>
      </w:r>
      <w:r w:rsidR="00B169C2">
        <w:rPr>
          <w:b/>
        </w:rPr>
        <w:t xml:space="preserve">the Australian Government Department of Health </w:t>
      </w:r>
      <w:r>
        <w:rPr>
          <w:b/>
        </w:rPr>
        <w:t xml:space="preserve">provides a road map for the future of palliative care services across Australia. </w:t>
      </w:r>
    </w:p>
    <w:p w14:paraId="720E9F00" w14:textId="65E5AB61" w:rsidR="009023E7" w:rsidRDefault="00AD69F8" w:rsidP="005D1045">
      <w:pPr>
        <w:spacing w:line="240" w:lineRule="auto"/>
      </w:pPr>
      <w:r w:rsidRPr="00AD69F8">
        <w:t>“PCA is pleased that the updated</w:t>
      </w:r>
      <w:r w:rsidR="009023E7" w:rsidRPr="00AD69F8">
        <w:t xml:space="preserve"> National Palliative Care Strat</w:t>
      </w:r>
      <w:r w:rsidR="00E6392C" w:rsidRPr="00AD69F8">
        <w:t>egy developed after</w:t>
      </w:r>
      <w:r w:rsidR="008F127D" w:rsidRPr="00AD69F8">
        <w:t xml:space="preserve"> comprehensive</w:t>
      </w:r>
      <w:r w:rsidR="009023E7" w:rsidRPr="00AD69F8">
        <w:t xml:space="preserve"> consultations with PCA, its members and the palliative care sector has been released,” said Mr Greenland.</w:t>
      </w:r>
      <w:r w:rsidR="009023E7">
        <w:t xml:space="preserve">  </w:t>
      </w:r>
    </w:p>
    <w:p w14:paraId="29812CF2" w14:textId="3F4C7E48" w:rsidR="00FB3942" w:rsidRDefault="009023E7" w:rsidP="005D1045">
      <w:pPr>
        <w:spacing w:line="240" w:lineRule="auto"/>
      </w:pPr>
      <w:r>
        <w:t>“It’s also pleasing that t</w:t>
      </w:r>
      <w:r w:rsidR="001B6EA2">
        <w:t xml:space="preserve">he updated </w:t>
      </w:r>
      <w:r w:rsidR="00985256">
        <w:t>S</w:t>
      </w:r>
      <w:r w:rsidR="001B6EA2">
        <w:t xml:space="preserve">trategy </w:t>
      </w:r>
      <w:r>
        <w:t xml:space="preserve">is </w:t>
      </w:r>
      <w:r w:rsidR="001B6EA2">
        <w:t xml:space="preserve">endorsed by all </w:t>
      </w:r>
      <w:r w:rsidR="00AD69F8">
        <w:t>Australian Health M</w:t>
      </w:r>
      <w:r>
        <w:t>inisters, so it marks</w:t>
      </w:r>
      <w:r w:rsidR="001B6EA2">
        <w:t xml:space="preserve"> a </w:t>
      </w:r>
      <w:r w:rsidR="00985256">
        <w:t xml:space="preserve">vital </w:t>
      </w:r>
      <w:r w:rsidR="001B6EA2">
        <w:t xml:space="preserve">step towards ensuring all Australians who are </w:t>
      </w:r>
      <w:r w:rsidR="00AD69F8">
        <w:t>living with</w:t>
      </w:r>
      <w:r w:rsidR="001B6EA2">
        <w:t xml:space="preserve"> life-limiting illnesses get </w:t>
      </w:r>
      <w:r w:rsidR="00985256">
        <w:t>th</w:t>
      </w:r>
      <w:r>
        <w:t>e care they need to live well.”</w:t>
      </w:r>
      <w:r w:rsidR="00574A17">
        <w:t xml:space="preserve"> </w:t>
      </w:r>
    </w:p>
    <w:p w14:paraId="5BA5FABB" w14:textId="51D07B51" w:rsidR="00C72CFB" w:rsidRDefault="00137686" w:rsidP="005D1045">
      <w:pPr>
        <w:spacing w:line="240" w:lineRule="auto"/>
      </w:pPr>
      <w:r>
        <w:t>Mr Greenland</w:t>
      </w:r>
      <w:r w:rsidR="00C72CFB">
        <w:t xml:space="preserve"> says it’s pleasing to </w:t>
      </w:r>
      <w:r w:rsidR="00985256">
        <w:t>see</w:t>
      </w:r>
      <w:r w:rsidR="00C72CFB">
        <w:t xml:space="preserve"> recognition</w:t>
      </w:r>
      <w:r w:rsidR="00985256">
        <w:t xml:space="preserve"> and agreement from all governments</w:t>
      </w:r>
      <w:r w:rsidR="00C72CFB">
        <w:t xml:space="preserve"> for the needed increase in palliative care services</w:t>
      </w:r>
      <w:r w:rsidR="00985256">
        <w:t xml:space="preserve"> and training of all health professionals about end-of-life issues</w:t>
      </w:r>
      <w:r w:rsidR="00C72CFB">
        <w:t>.</w:t>
      </w:r>
    </w:p>
    <w:p w14:paraId="0990C854" w14:textId="77777777" w:rsidR="00C72CFB" w:rsidRDefault="00C72CFB" w:rsidP="005D1045">
      <w:pPr>
        <w:spacing w:line="240" w:lineRule="auto"/>
      </w:pPr>
      <w:r>
        <w:t xml:space="preserve">“The Productivity Commission has estimated that around 80,000 Australians would benefit from palliative care each year, and that this number will rise over the next 30 years as our population ages. We need investment in palliative care services and the health workforce to meet this increasing demand. </w:t>
      </w:r>
    </w:p>
    <w:p w14:paraId="126203AD" w14:textId="77777777" w:rsidR="00C15F5A" w:rsidRDefault="001B6EA2" w:rsidP="005D1045">
      <w:pPr>
        <w:spacing w:line="240" w:lineRule="auto"/>
      </w:pPr>
      <w:r>
        <w:t xml:space="preserve">The </w:t>
      </w:r>
      <w:r w:rsidR="00C72CFB">
        <w:t xml:space="preserve">goals </w:t>
      </w:r>
      <w:r w:rsidR="00985256">
        <w:t>of the S</w:t>
      </w:r>
      <w:r>
        <w:t>trategy include</w:t>
      </w:r>
      <w:r w:rsidR="00C15F5A">
        <w:t>:</w:t>
      </w:r>
      <w:r>
        <w:t xml:space="preserve"> </w:t>
      </w:r>
    </w:p>
    <w:p w14:paraId="5533D06C" w14:textId="77777777" w:rsidR="00C72CFB" w:rsidRDefault="00C72CFB" w:rsidP="005D1045">
      <w:pPr>
        <w:pStyle w:val="ListParagraph"/>
        <w:numPr>
          <w:ilvl w:val="0"/>
          <w:numId w:val="13"/>
        </w:numPr>
        <w:spacing w:line="240" w:lineRule="auto"/>
      </w:pPr>
      <w:r>
        <w:t>People understand the benefits of palliative care, know where and how to access services, and are involved in decisions about their own care.</w:t>
      </w:r>
    </w:p>
    <w:p w14:paraId="3FCFB180" w14:textId="77777777" w:rsidR="00C72CFB" w:rsidRDefault="00C72CFB" w:rsidP="005D1045">
      <w:pPr>
        <w:pStyle w:val="ListParagraph"/>
        <w:numPr>
          <w:ilvl w:val="0"/>
          <w:numId w:val="13"/>
        </w:numPr>
        <w:spacing w:line="240" w:lineRule="auto"/>
      </w:pPr>
      <w:r>
        <w:t>Knowledge and practice of palliative care is embedded in all care settings</w:t>
      </w:r>
    </w:p>
    <w:p w14:paraId="1DD9556B" w14:textId="77777777" w:rsidR="00C72CFB" w:rsidRDefault="00C72CFB" w:rsidP="005D1045">
      <w:pPr>
        <w:pStyle w:val="ListParagraph"/>
        <w:numPr>
          <w:ilvl w:val="0"/>
          <w:numId w:val="13"/>
        </w:numPr>
        <w:spacing w:line="240" w:lineRule="auto"/>
      </w:pPr>
      <w:r>
        <w:t>People affected by life-limiting illnesses receive care that matches their needs and preferences</w:t>
      </w:r>
    </w:p>
    <w:p w14:paraId="35AE9C26" w14:textId="77777777" w:rsidR="00C72CFB" w:rsidRDefault="00C72CFB" w:rsidP="005D1045">
      <w:pPr>
        <w:pStyle w:val="ListParagraph"/>
        <w:numPr>
          <w:ilvl w:val="0"/>
          <w:numId w:val="13"/>
        </w:numPr>
        <w:spacing w:line="240" w:lineRule="auto"/>
      </w:pPr>
      <w:r>
        <w:t>Everyone works together to create a consistent experience of palliative care across care settings</w:t>
      </w:r>
    </w:p>
    <w:p w14:paraId="06A93314" w14:textId="77777777" w:rsidR="00C72CFB" w:rsidRDefault="00C72CFB" w:rsidP="005D1045">
      <w:pPr>
        <w:pStyle w:val="ListParagraph"/>
        <w:numPr>
          <w:ilvl w:val="0"/>
          <w:numId w:val="13"/>
        </w:numPr>
        <w:spacing w:line="240" w:lineRule="auto"/>
      </w:pPr>
      <w:r>
        <w:t>A skilled workforce and systems are in place to deliver palliative care in any setting</w:t>
      </w:r>
    </w:p>
    <w:p w14:paraId="24192E81" w14:textId="77777777" w:rsidR="00C72CFB" w:rsidRDefault="00C72CFB" w:rsidP="005D1045">
      <w:pPr>
        <w:pStyle w:val="ListParagraph"/>
        <w:numPr>
          <w:ilvl w:val="0"/>
          <w:numId w:val="13"/>
        </w:numPr>
        <w:spacing w:line="240" w:lineRule="auto"/>
      </w:pPr>
      <w:r>
        <w:t>Robust national data and a strong research agenda strengthen and improve palliative care</w:t>
      </w:r>
    </w:p>
    <w:p w14:paraId="7519D317" w14:textId="77777777" w:rsidR="00C72CFB" w:rsidRDefault="00C72CFB" w:rsidP="005D1045">
      <w:pPr>
        <w:pStyle w:val="ListParagraph"/>
        <w:numPr>
          <w:ilvl w:val="0"/>
          <w:numId w:val="13"/>
        </w:numPr>
        <w:spacing w:line="240" w:lineRule="auto"/>
      </w:pPr>
      <w:r>
        <w:t>National governance of the Strategy drives action</w:t>
      </w:r>
    </w:p>
    <w:p w14:paraId="50AACDF8" w14:textId="24341B67" w:rsidR="00C72CFB" w:rsidRPr="00AD69F8" w:rsidRDefault="00137686" w:rsidP="005D1045">
      <w:pPr>
        <w:spacing w:line="240" w:lineRule="auto"/>
      </w:pPr>
      <w:r w:rsidRPr="00AD69F8">
        <w:t>Mr Greenland</w:t>
      </w:r>
      <w:r w:rsidR="00CF58F2" w:rsidRPr="00AD69F8">
        <w:t xml:space="preserve"> says PCA’s future focused </w:t>
      </w:r>
      <w:hyperlink r:id="rId9" w:history="1">
        <w:r w:rsidR="00CF58F2" w:rsidRPr="00AD69F8">
          <w:rPr>
            <w:rStyle w:val="Hyperlink"/>
          </w:rPr>
          <w:t>Palliative Care 2030</w:t>
        </w:r>
      </w:hyperlink>
      <w:r w:rsidR="00CF58F2" w:rsidRPr="00AD69F8">
        <w:t xml:space="preserve"> vision complements the objectives of the National Palliative Care Strategy and </w:t>
      </w:r>
      <w:r w:rsidR="00AC4585">
        <w:t>outlines guiding principles to assist the health, disability and aged care sectors, governments and the general community, to plan and prepare for the future where Australians will live longer, demand an improved quality of life, and access to high quality palliative care when living with a life-limiting illness</w:t>
      </w:r>
      <w:r w:rsidR="00AC4585">
        <w:t>.</w:t>
      </w:r>
    </w:p>
    <w:p w14:paraId="0D7B838F" w14:textId="187C426D" w:rsidR="00CF58F2" w:rsidRDefault="00CF58F2" w:rsidP="005D1045">
      <w:pPr>
        <w:spacing w:line="240" w:lineRule="auto"/>
      </w:pPr>
      <w:r w:rsidRPr="00AD69F8">
        <w:t xml:space="preserve">“We know that there is inequitable access to palliative care in Australia, and unless there is significant change in the way it is funded and delivered, these inequities will continue to grow. Australians with a life-limiting illness should be able to access quality palliative care no matter their postcode, diagnosis, ethnicity, socio-economic status or place of care, to enable them to have the best quality </w:t>
      </w:r>
      <w:r w:rsidR="00AC4585">
        <w:t>of life for as long as possible.</w:t>
      </w:r>
      <w:r w:rsidR="005D1045" w:rsidRPr="00AD69F8">
        <w:t xml:space="preserve"> </w:t>
      </w:r>
    </w:p>
    <w:p w14:paraId="762365E6" w14:textId="0E8AD06D" w:rsidR="00AC4585" w:rsidRDefault="00E70D1F" w:rsidP="005D1045">
      <w:pPr>
        <w:spacing w:line="240" w:lineRule="auto"/>
      </w:pPr>
      <w:r>
        <w:t>“PCA and</w:t>
      </w:r>
      <w:r>
        <w:t xml:space="preserve"> its Members look forward seeing</w:t>
      </w:r>
      <w:r>
        <w:t xml:space="preserve"> the implementation plan for the Strategy and to working with our respective governments, health departments, universities and palliative care services t</w:t>
      </w:r>
      <w:r>
        <w:t xml:space="preserve">o achieve the Strategy’s goals,” </w:t>
      </w:r>
      <w:r w:rsidR="00AC4585" w:rsidRPr="00AD69F8">
        <w:t>said Mr Greenland.</w:t>
      </w:r>
    </w:p>
    <w:sectPr w:rsidR="00AC4585" w:rsidSect="00EC20A1">
      <w:footerReference w:type="default" r:id="rId10"/>
      <w:headerReference w:type="first" r:id="rId11"/>
      <w:footerReference w:type="first" r:id="rId12"/>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F93F" w14:textId="77777777" w:rsidR="0047606A" w:rsidRDefault="0047606A" w:rsidP="0072523A">
      <w:r>
        <w:separator/>
      </w:r>
    </w:p>
  </w:endnote>
  <w:endnote w:type="continuationSeparator" w:id="0">
    <w:p w14:paraId="11EFA746" w14:textId="77777777" w:rsidR="0047606A" w:rsidRDefault="0047606A"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280E" w14:textId="77777777" w:rsidR="00602615" w:rsidRPr="003176E9" w:rsidRDefault="00602615" w:rsidP="0072523A">
    <w:pPr>
      <w:pStyle w:val="Footer"/>
      <w:rPr>
        <w:color w:val="003057"/>
        <w:sz w:val="16"/>
        <w:szCs w:val="16"/>
      </w:rPr>
    </w:pPr>
    <w:r w:rsidRPr="007F464A">
      <w:rPr>
        <w:rStyle w:val="Emphasis"/>
        <w:sz w:val="16"/>
        <w:szCs w:val="16"/>
      </w:rPr>
      <w:t>Palliative Care Australia</w:t>
    </w:r>
    <w:r w:rsidRPr="007F464A">
      <w:rPr>
        <w:rStyle w:val="Emphasis"/>
        <w:sz w:val="16"/>
        <w:szCs w:val="16"/>
      </w:rPr>
      <w:tab/>
    </w:r>
    <w:r w:rsidRPr="007F464A">
      <w:rPr>
        <w:rStyle w:val="Emphasis"/>
        <w:sz w:val="16"/>
        <w:szCs w:val="16"/>
      </w:rPr>
      <w:tab/>
    </w:r>
    <w:sdt>
      <w:sdtPr>
        <w:rPr>
          <w:sz w:val="16"/>
          <w:szCs w:val="16"/>
        </w:rPr>
        <w:id w:val="-897667518"/>
        <w:docPartObj>
          <w:docPartGallery w:val="Page Numbers (Bottom of Page)"/>
          <w:docPartUnique/>
        </w:docPartObj>
      </w:sdtPr>
      <w:sdtEndPr>
        <w:rPr>
          <w:noProof/>
        </w:rPr>
      </w:sdtEndPr>
      <w:sdtContent>
        <w:r w:rsidRPr="007F464A">
          <w:rPr>
            <w:sz w:val="16"/>
            <w:szCs w:val="16"/>
          </w:rPr>
          <w:fldChar w:fldCharType="begin"/>
        </w:r>
        <w:r w:rsidRPr="007F464A">
          <w:rPr>
            <w:sz w:val="16"/>
            <w:szCs w:val="16"/>
          </w:rPr>
          <w:instrText xml:space="preserve"> PAGE   \* MERGEFORMAT </w:instrText>
        </w:r>
        <w:r w:rsidRPr="007F464A">
          <w:rPr>
            <w:sz w:val="16"/>
            <w:szCs w:val="16"/>
          </w:rPr>
          <w:fldChar w:fldCharType="separate"/>
        </w:r>
        <w:r w:rsidR="00E70D1F">
          <w:rPr>
            <w:noProof/>
            <w:sz w:val="16"/>
            <w:szCs w:val="16"/>
          </w:rPr>
          <w:t>2</w:t>
        </w:r>
        <w:r w:rsidRPr="007F464A">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0EEB" w14:textId="77777777" w:rsidR="00EC20A1" w:rsidRPr="006E7F1E" w:rsidRDefault="00EC20A1" w:rsidP="00EC20A1">
    <w:pPr>
      <w:pBdr>
        <w:left w:val="single" w:sz="18" w:space="4" w:color="003057"/>
      </w:pBdr>
      <w:spacing w:after="0"/>
      <w:ind w:firstLine="284"/>
      <w:rPr>
        <w:rFonts w:eastAsiaTheme="minorEastAsia"/>
        <w:noProof/>
        <w:color w:val="003057"/>
        <w:sz w:val="20"/>
        <w:szCs w:val="20"/>
        <w:lang w:eastAsia="en-AU"/>
      </w:rPr>
    </w:pPr>
    <w:r w:rsidRPr="006E7F1E">
      <w:rPr>
        <w:rFonts w:ascii="Calibri" w:eastAsiaTheme="minorEastAsia" w:hAnsi="Calibri" w:cs="Calibri"/>
        <w:b/>
        <w:bCs/>
        <w:noProof/>
        <w:color w:val="003057"/>
        <w:sz w:val="20"/>
        <w:szCs w:val="20"/>
        <w:lang w:eastAsia="en-AU"/>
      </w:rPr>
      <w:t>Media contact:</w:t>
    </w:r>
    <w:r w:rsidRPr="0054357E">
      <w:rPr>
        <w:rFonts w:ascii="Calibri" w:eastAsiaTheme="minorEastAsia" w:hAnsi="Calibri" w:cs="Calibri"/>
        <w:b/>
        <w:bCs/>
        <w:noProof/>
        <w:color w:val="003057"/>
        <w:sz w:val="20"/>
        <w:szCs w:val="20"/>
        <w:lang w:eastAsia="en-AU"/>
      </w:rPr>
      <w:t xml:space="preserve"> </w:t>
    </w:r>
    <w:r w:rsidR="006E7F1E" w:rsidRPr="006E7F1E">
      <w:rPr>
        <w:rFonts w:ascii="Calibri" w:eastAsiaTheme="minorEastAsia" w:hAnsi="Calibri" w:cs="Calibri"/>
        <w:b/>
        <w:bCs/>
        <w:noProof/>
        <w:color w:val="003057"/>
        <w:sz w:val="20"/>
        <w:szCs w:val="20"/>
        <w:lang w:eastAsia="en-AU"/>
      </w:rPr>
      <w:t>Grace Keyworth 0422 040 576</w:t>
    </w:r>
  </w:p>
  <w:p w14:paraId="57E74E66" w14:textId="77777777" w:rsidR="00EC20A1" w:rsidRPr="0054357E" w:rsidRDefault="00D75DD5" w:rsidP="00EC20A1">
    <w:pPr>
      <w:pBdr>
        <w:left w:val="single" w:sz="18" w:space="4" w:color="003057"/>
      </w:pBdr>
      <w:spacing w:after="0"/>
      <w:ind w:firstLine="284"/>
      <w:rPr>
        <w:rFonts w:eastAsiaTheme="minorEastAsia"/>
        <w:b/>
        <w:noProof/>
        <w:color w:val="003057"/>
        <w:sz w:val="20"/>
        <w:szCs w:val="20"/>
        <w:lang w:eastAsia="en-AU"/>
      </w:rPr>
    </w:pPr>
    <w:hyperlink r:id="rId1" w:history="1">
      <w:r w:rsidR="00EC20A1" w:rsidRPr="00FC617E">
        <w:rPr>
          <w:rStyle w:val="Hyperlink"/>
          <w:rFonts w:eastAsiaTheme="minorEastAsia"/>
          <w:b/>
          <w:noProof/>
          <w:sz w:val="20"/>
          <w:szCs w:val="20"/>
          <w:lang w:eastAsia="en-AU"/>
        </w:rPr>
        <w:t>palliativecare.org.au</w:t>
      </w:r>
    </w:hyperlink>
  </w:p>
  <w:p w14:paraId="5FB770CD" w14:textId="77777777" w:rsidR="00EC20A1" w:rsidRPr="00EC20A1" w:rsidRDefault="00EC20A1" w:rsidP="00EC20A1">
    <w:pPr>
      <w:pBdr>
        <w:left w:val="single" w:sz="18" w:space="4" w:color="003057"/>
      </w:pBdr>
      <w:spacing w:after="0"/>
      <w:ind w:firstLine="284"/>
      <w:rPr>
        <w:rFonts w:eastAsiaTheme="minorEastAsia"/>
        <w:noProof/>
        <w:color w:val="000000"/>
        <w:sz w:val="20"/>
        <w:szCs w:val="20"/>
        <w:lang w:eastAsia="en-AU"/>
      </w:rPr>
    </w:pPr>
  </w:p>
  <w:p w14:paraId="1B6F48D5" w14:textId="77777777" w:rsidR="00EC20A1" w:rsidRDefault="00EC20A1" w:rsidP="00EC20A1">
    <w:pPr>
      <w:pBdr>
        <w:left w:val="single" w:sz="18" w:space="4" w:color="003057"/>
      </w:pBdr>
      <w:spacing w:after="60"/>
      <w:ind w:firstLine="284"/>
      <w:rPr>
        <w:rFonts w:eastAsiaTheme="minorEastAsia"/>
        <w:noProof/>
        <w:color w:val="000000"/>
        <w:sz w:val="21"/>
        <w:szCs w:val="21"/>
        <w:lang w:eastAsia="en-AU"/>
      </w:rPr>
    </w:pPr>
    <w:r>
      <w:rPr>
        <w:rFonts w:eastAsiaTheme="minorEastAsia"/>
        <w:noProof/>
        <w:color w:val="000000"/>
        <w:sz w:val="21"/>
        <w:szCs w:val="21"/>
        <w:lang w:eastAsia="en-AU"/>
      </w:rPr>
      <w:drawing>
        <wp:inline distT="0" distB="0" distL="0" distR="0" wp14:anchorId="69DDF239" wp14:editId="02A25AEA">
          <wp:extent cx="238125" cy="238125"/>
          <wp:effectExtent l="0" t="0" r="9525" b="9525"/>
          <wp:docPr id="4" name="Picture 4" descr="cid:A20E0700-625F-4A9A-832B-154751383E5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20E0700-625F-4A9A-832B-154751383E56">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eastAsiaTheme="minorEastAsia"/>
        <w:noProof/>
        <w:color w:val="000000"/>
        <w:sz w:val="21"/>
        <w:szCs w:val="21"/>
        <w:lang w:eastAsia="en-AU"/>
      </w:rPr>
      <w:t xml:space="preserve">   </w:t>
    </w:r>
    <w:r>
      <w:rPr>
        <w:rFonts w:eastAsiaTheme="minorEastAsia"/>
        <w:noProof/>
        <w:color w:val="000000"/>
        <w:sz w:val="21"/>
        <w:szCs w:val="21"/>
        <w:lang w:eastAsia="en-AU"/>
      </w:rPr>
      <w:drawing>
        <wp:inline distT="0" distB="0" distL="0" distR="0" wp14:anchorId="29866D32" wp14:editId="2517D4C2">
          <wp:extent cx="238125" cy="238125"/>
          <wp:effectExtent l="0" t="0" r="9525" b="9525"/>
          <wp:docPr id="3" name="Picture 3" descr="cid:4C3FA912-45D6-44FA-83BD-F29238BB50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C3FA912-45D6-44FA-83BD-F29238BB502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eastAsiaTheme="minorEastAsia"/>
        <w:noProof/>
        <w:color w:val="000000"/>
        <w:sz w:val="21"/>
        <w:szCs w:val="21"/>
        <w:lang w:eastAsia="en-AU"/>
      </w:rPr>
      <w:t xml:space="preserve">   </w:t>
    </w:r>
    <w:r>
      <w:rPr>
        <w:rFonts w:eastAsiaTheme="minorEastAsia"/>
        <w:noProof/>
        <w:color w:val="000000"/>
        <w:sz w:val="21"/>
        <w:szCs w:val="21"/>
        <w:lang w:eastAsia="en-AU"/>
      </w:rPr>
      <w:drawing>
        <wp:inline distT="0" distB="0" distL="0" distR="0" wp14:anchorId="1E49ECCC" wp14:editId="150E0B2E">
          <wp:extent cx="238125" cy="238125"/>
          <wp:effectExtent l="0" t="0" r="9525" b="9525"/>
          <wp:docPr id="2" name="Picture 2" descr="cid:72F3397F-8221-49A0-B247-5062039F5CD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2F3397F-8221-49A0-B247-5062039F5CD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B2FAC">
      <w:rPr>
        <w:rFonts w:eastAsiaTheme="minorEastAsia"/>
        <w:noProof/>
        <w:color w:val="000000"/>
        <w:sz w:val="21"/>
        <w:szCs w:val="21"/>
        <w:lang w:eastAsia="en-AU"/>
      </w:rPr>
      <w:t xml:space="preserve">  </w:t>
    </w:r>
  </w:p>
  <w:p w14:paraId="1749DD7C" w14:textId="77777777" w:rsidR="00EC20A1" w:rsidRDefault="00EC20A1" w:rsidP="00EC20A1">
    <w:pPr>
      <w:pBdr>
        <w:left w:val="single" w:sz="18" w:space="4" w:color="003057"/>
      </w:pBdr>
      <w:spacing w:after="0"/>
      <w:ind w:firstLine="284"/>
      <w:rPr>
        <w:rStyle w:val="Hyperlink"/>
        <w:rFonts w:ascii="Calibri" w:hAnsi="Calibri"/>
        <w:i/>
        <w:color w:val="828282"/>
        <w:sz w:val="16"/>
        <w:szCs w:val="16"/>
        <w:u w:val="none"/>
      </w:rPr>
    </w:pPr>
  </w:p>
  <w:p w14:paraId="07C2AA2E" w14:textId="77777777" w:rsidR="00602615" w:rsidRPr="00EC20A1" w:rsidRDefault="00EC20A1" w:rsidP="00EC20A1">
    <w:pPr>
      <w:pBdr>
        <w:left w:val="single" w:sz="18" w:space="4" w:color="003057"/>
      </w:pBdr>
      <w:tabs>
        <w:tab w:val="right" w:pos="9638"/>
      </w:tabs>
      <w:spacing w:after="0"/>
      <w:ind w:firstLine="284"/>
      <w:rPr>
        <w:rFonts w:ascii="Calibri" w:hAnsi="Calibri"/>
        <w:i/>
        <w:sz w:val="16"/>
        <w:szCs w:val="16"/>
      </w:rPr>
    </w:pPr>
    <w:r w:rsidRPr="00EC20A1">
      <w:rPr>
        <w:rStyle w:val="Hyperlink"/>
        <w:rFonts w:ascii="Calibri" w:hAnsi="Calibri"/>
        <w:i/>
        <w:color w:val="828282"/>
        <w:sz w:val="16"/>
        <w:szCs w:val="16"/>
        <w:u w:val="none"/>
      </w:rPr>
      <w:t>His Excellency General the Honourable Sir Peter Cosgrove AK MC (Retd), Governor-General of the Commonwealth of Australia, Patron</w:t>
    </w:r>
    <w:r w:rsidR="00602615" w:rsidRPr="00EC20A1">
      <w:rPr>
        <w:i/>
        <w:noProof/>
        <w:sz w:val="16"/>
        <w:szCs w:val="16"/>
        <w:lang w:eastAsia="en-AU"/>
      </w:rPr>
      <w:drawing>
        <wp:anchor distT="0" distB="0" distL="114300" distR="114300" simplePos="0" relativeHeight="251661312" behindDoc="1" locked="0" layoutInCell="1" allowOverlap="1" wp14:anchorId="56CF989C" wp14:editId="751E7BA6">
          <wp:simplePos x="0" y="0"/>
          <wp:positionH relativeFrom="page">
            <wp:align>right</wp:align>
          </wp:positionH>
          <wp:positionV relativeFrom="paragraph">
            <wp:posOffset>-3724275</wp:posOffset>
          </wp:positionV>
          <wp:extent cx="4048125" cy="5139690"/>
          <wp:effectExtent l="0" t="0" r="952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5139690"/>
                  </a:xfrm>
                  <a:prstGeom prst="rect">
                    <a:avLst/>
                  </a:prstGeom>
                  <a:noFill/>
                </pic:spPr>
              </pic:pic>
            </a:graphicData>
          </a:graphic>
          <wp14:sizeRelH relativeFrom="page">
            <wp14:pctWidth>0</wp14:pctWidth>
          </wp14:sizeRelH>
          <wp14:sizeRelV relativeFrom="page">
            <wp14:pctHeight>0</wp14:pctHeight>
          </wp14:sizeRelV>
        </wp:anchor>
      </w:drawing>
    </w:r>
    <w:sdt>
      <w:sdtPr>
        <w:rPr>
          <w:sz w:val="16"/>
          <w:szCs w:val="16"/>
        </w:rPr>
        <w:id w:val="1501080773"/>
        <w:docPartObj>
          <w:docPartGallery w:val="Page Numbers (Bottom of Page)"/>
          <w:docPartUnique/>
        </w:docPartObj>
      </w:sdtPr>
      <w:sdtEndPr>
        <w:rPr>
          <w:noProof/>
        </w:rPr>
      </w:sdtEndPr>
      <w:sdtContent>
        <w:r>
          <w:rPr>
            <w:sz w:val="16"/>
            <w:szCs w:val="16"/>
          </w:rPr>
          <w:tab/>
        </w:r>
        <w:r w:rsidR="00602615" w:rsidRPr="00EC20A1">
          <w:rPr>
            <w:sz w:val="16"/>
            <w:szCs w:val="16"/>
          </w:rPr>
          <w:fldChar w:fldCharType="begin"/>
        </w:r>
        <w:r w:rsidR="00602615" w:rsidRPr="00EC20A1">
          <w:rPr>
            <w:sz w:val="16"/>
            <w:szCs w:val="16"/>
          </w:rPr>
          <w:instrText xml:space="preserve"> PAGE   \* MERGEFORMAT </w:instrText>
        </w:r>
        <w:r w:rsidR="00602615" w:rsidRPr="00EC20A1">
          <w:rPr>
            <w:sz w:val="16"/>
            <w:szCs w:val="16"/>
          </w:rPr>
          <w:fldChar w:fldCharType="separate"/>
        </w:r>
        <w:r w:rsidR="00E70D1F">
          <w:rPr>
            <w:noProof/>
            <w:sz w:val="16"/>
            <w:szCs w:val="16"/>
          </w:rPr>
          <w:t>1</w:t>
        </w:r>
        <w:r w:rsidR="00602615" w:rsidRPr="00EC20A1">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67AD4" w14:textId="77777777" w:rsidR="0047606A" w:rsidRDefault="0047606A" w:rsidP="0072523A">
      <w:r>
        <w:separator/>
      </w:r>
    </w:p>
  </w:footnote>
  <w:footnote w:type="continuationSeparator" w:id="0">
    <w:p w14:paraId="3E49B0FA" w14:textId="77777777" w:rsidR="0047606A" w:rsidRDefault="0047606A"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4257" w14:textId="77777777" w:rsidR="00F7040B" w:rsidRPr="006E7F1E" w:rsidRDefault="00602615" w:rsidP="00EC20A1">
    <w:pPr>
      <w:pStyle w:val="Header"/>
    </w:pPr>
    <w:r w:rsidRPr="006E7F1E">
      <w:rPr>
        <w:noProof/>
        <w:lang w:eastAsia="en-AU"/>
      </w:rPr>
      <w:drawing>
        <wp:anchor distT="0" distB="0" distL="114300" distR="114300" simplePos="0" relativeHeight="251663360" behindDoc="1" locked="0" layoutInCell="1" allowOverlap="1" wp14:anchorId="752FD5ED" wp14:editId="472ECF92">
          <wp:simplePos x="0" y="0"/>
          <wp:positionH relativeFrom="page">
            <wp:align>right</wp:align>
          </wp:positionH>
          <wp:positionV relativeFrom="paragraph">
            <wp:posOffset>-448310</wp:posOffset>
          </wp:positionV>
          <wp:extent cx="2341245" cy="1657985"/>
          <wp:effectExtent l="0" t="0" r="1905" b="0"/>
          <wp:wrapTight wrapText="bothSides">
            <wp:wrapPolygon edited="0">
              <wp:start x="0" y="0"/>
              <wp:lineTo x="0" y="21344"/>
              <wp:lineTo x="21442" y="21344"/>
              <wp:lineTo x="214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657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8A3"/>
    <w:multiLevelType w:val="multilevel"/>
    <w:tmpl w:val="AF24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760AC"/>
    <w:multiLevelType w:val="hybridMultilevel"/>
    <w:tmpl w:val="F28ECAB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7E246CE"/>
    <w:multiLevelType w:val="hybridMultilevel"/>
    <w:tmpl w:val="1B90B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B202F"/>
    <w:multiLevelType w:val="hybridMultilevel"/>
    <w:tmpl w:val="4B567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6D7680"/>
    <w:multiLevelType w:val="multilevel"/>
    <w:tmpl w:val="B7B6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64676"/>
    <w:multiLevelType w:val="hybridMultilevel"/>
    <w:tmpl w:val="A30C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44BD9"/>
    <w:multiLevelType w:val="hybridMultilevel"/>
    <w:tmpl w:val="CB38D508"/>
    <w:lvl w:ilvl="0" w:tplc="0C090001">
      <w:start w:val="1"/>
      <w:numFmt w:val="bullet"/>
      <w:lvlText w:val=""/>
      <w:lvlJc w:val="left"/>
      <w:pPr>
        <w:ind w:left="720" w:hanging="360"/>
      </w:pPr>
      <w:rPr>
        <w:rFonts w:ascii="Symbol" w:hAnsi="Symbol" w:hint="default"/>
      </w:rPr>
    </w:lvl>
    <w:lvl w:ilvl="1" w:tplc="181A13B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F63A41"/>
    <w:multiLevelType w:val="hybridMultilevel"/>
    <w:tmpl w:val="2BCA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96883"/>
    <w:multiLevelType w:val="hybridMultilevel"/>
    <w:tmpl w:val="5EA8D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E4470"/>
    <w:multiLevelType w:val="multilevel"/>
    <w:tmpl w:val="733C3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464A0"/>
    <w:multiLevelType w:val="hybridMultilevel"/>
    <w:tmpl w:val="3BE08F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ED458B"/>
    <w:multiLevelType w:val="multilevel"/>
    <w:tmpl w:val="412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10"/>
  </w:num>
  <w:num w:numId="5">
    <w:abstractNumId w:val="3"/>
  </w:num>
  <w:num w:numId="6">
    <w:abstractNumId w:val="1"/>
  </w:num>
  <w:num w:numId="7">
    <w:abstractNumId w:val="8"/>
  </w:num>
  <w:num w:numId="8">
    <w:abstractNumId w:val="12"/>
  </w:num>
  <w:num w:numId="9">
    <w:abstractNumId w:val="9"/>
  </w:num>
  <w:num w:numId="10">
    <w:abstractNumId w:val="4"/>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23"/>
    <w:rsid w:val="00010EB7"/>
    <w:rsid w:val="00011A47"/>
    <w:rsid w:val="000274D4"/>
    <w:rsid w:val="00030836"/>
    <w:rsid w:val="000375EC"/>
    <w:rsid w:val="00043D11"/>
    <w:rsid w:val="00092537"/>
    <w:rsid w:val="000948D6"/>
    <w:rsid w:val="000A0025"/>
    <w:rsid w:val="000A1F31"/>
    <w:rsid w:val="000A2A79"/>
    <w:rsid w:val="000D2667"/>
    <w:rsid w:val="000F1357"/>
    <w:rsid w:val="00104D21"/>
    <w:rsid w:val="00105423"/>
    <w:rsid w:val="00110477"/>
    <w:rsid w:val="00137686"/>
    <w:rsid w:val="00180716"/>
    <w:rsid w:val="001A3D27"/>
    <w:rsid w:val="001B48D0"/>
    <w:rsid w:val="001B6EA2"/>
    <w:rsid w:val="001C1213"/>
    <w:rsid w:val="001D075D"/>
    <w:rsid w:val="001D5FC5"/>
    <w:rsid w:val="001F3AD6"/>
    <w:rsid w:val="0021047C"/>
    <w:rsid w:val="0022245F"/>
    <w:rsid w:val="00233C67"/>
    <w:rsid w:val="00241E23"/>
    <w:rsid w:val="0025162C"/>
    <w:rsid w:val="00251EA7"/>
    <w:rsid w:val="002522AE"/>
    <w:rsid w:val="00260CA2"/>
    <w:rsid w:val="002622D4"/>
    <w:rsid w:val="0027408D"/>
    <w:rsid w:val="002A2073"/>
    <w:rsid w:val="002B23A5"/>
    <w:rsid w:val="002C19F8"/>
    <w:rsid w:val="002D7696"/>
    <w:rsid w:val="002F19CD"/>
    <w:rsid w:val="002F6C06"/>
    <w:rsid w:val="00312D1C"/>
    <w:rsid w:val="003176E9"/>
    <w:rsid w:val="00391999"/>
    <w:rsid w:val="003A0EE9"/>
    <w:rsid w:val="003B1886"/>
    <w:rsid w:val="003C04EB"/>
    <w:rsid w:val="003E564F"/>
    <w:rsid w:val="003F3366"/>
    <w:rsid w:val="003F7C62"/>
    <w:rsid w:val="00416B9C"/>
    <w:rsid w:val="004200D5"/>
    <w:rsid w:val="00422974"/>
    <w:rsid w:val="00424287"/>
    <w:rsid w:val="00430E67"/>
    <w:rsid w:val="00435A80"/>
    <w:rsid w:val="0043657D"/>
    <w:rsid w:val="00436E8F"/>
    <w:rsid w:val="004460FF"/>
    <w:rsid w:val="0045658C"/>
    <w:rsid w:val="0047606A"/>
    <w:rsid w:val="004907F0"/>
    <w:rsid w:val="004A16C4"/>
    <w:rsid w:val="004A41EA"/>
    <w:rsid w:val="004B2DDC"/>
    <w:rsid w:val="004B4DB5"/>
    <w:rsid w:val="004C0A58"/>
    <w:rsid w:val="004C27A8"/>
    <w:rsid w:val="004D313B"/>
    <w:rsid w:val="004E1387"/>
    <w:rsid w:val="004F0872"/>
    <w:rsid w:val="00500473"/>
    <w:rsid w:val="00525A3E"/>
    <w:rsid w:val="00531B90"/>
    <w:rsid w:val="00532C52"/>
    <w:rsid w:val="0054357E"/>
    <w:rsid w:val="0055603E"/>
    <w:rsid w:val="00561147"/>
    <w:rsid w:val="005656E6"/>
    <w:rsid w:val="00567F4F"/>
    <w:rsid w:val="005745C4"/>
    <w:rsid w:val="00574A17"/>
    <w:rsid w:val="00583014"/>
    <w:rsid w:val="00585A23"/>
    <w:rsid w:val="00593C94"/>
    <w:rsid w:val="00595547"/>
    <w:rsid w:val="005A2CDA"/>
    <w:rsid w:val="005C6DAD"/>
    <w:rsid w:val="005D1045"/>
    <w:rsid w:val="005D552A"/>
    <w:rsid w:val="005F3963"/>
    <w:rsid w:val="0060248C"/>
    <w:rsid w:val="00602615"/>
    <w:rsid w:val="00635D23"/>
    <w:rsid w:val="00636D53"/>
    <w:rsid w:val="00667311"/>
    <w:rsid w:val="00675BC2"/>
    <w:rsid w:val="006A3188"/>
    <w:rsid w:val="006B0852"/>
    <w:rsid w:val="006B2FAC"/>
    <w:rsid w:val="006D1544"/>
    <w:rsid w:val="006E7F1E"/>
    <w:rsid w:val="006F07EE"/>
    <w:rsid w:val="00702E23"/>
    <w:rsid w:val="0072079C"/>
    <w:rsid w:val="0072523A"/>
    <w:rsid w:val="007B57B9"/>
    <w:rsid w:val="007C3E8D"/>
    <w:rsid w:val="007C72DD"/>
    <w:rsid w:val="007D6416"/>
    <w:rsid w:val="007F3CE3"/>
    <w:rsid w:val="007F464A"/>
    <w:rsid w:val="007F669E"/>
    <w:rsid w:val="00801087"/>
    <w:rsid w:val="0081516C"/>
    <w:rsid w:val="00822C48"/>
    <w:rsid w:val="00845F9E"/>
    <w:rsid w:val="00852A3B"/>
    <w:rsid w:val="0085477A"/>
    <w:rsid w:val="00856D94"/>
    <w:rsid w:val="008630B5"/>
    <w:rsid w:val="008823B5"/>
    <w:rsid w:val="00886E9C"/>
    <w:rsid w:val="008948AA"/>
    <w:rsid w:val="00895991"/>
    <w:rsid w:val="008A1777"/>
    <w:rsid w:val="008B2981"/>
    <w:rsid w:val="008B76FF"/>
    <w:rsid w:val="008C7589"/>
    <w:rsid w:val="008E180A"/>
    <w:rsid w:val="008E4C53"/>
    <w:rsid w:val="008E4CDB"/>
    <w:rsid w:val="008E5FF3"/>
    <w:rsid w:val="008F127D"/>
    <w:rsid w:val="008F3F21"/>
    <w:rsid w:val="009023E7"/>
    <w:rsid w:val="00902F17"/>
    <w:rsid w:val="009130DC"/>
    <w:rsid w:val="00914180"/>
    <w:rsid w:val="00937418"/>
    <w:rsid w:val="00940B5F"/>
    <w:rsid w:val="00961212"/>
    <w:rsid w:val="00985256"/>
    <w:rsid w:val="009A0255"/>
    <w:rsid w:val="009A1528"/>
    <w:rsid w:val="009B4833"/>
    <w:rsid w:val="009B5FAF"/>
    <w:rsid w:val="009D1EF6"/>
    <w:rsid w:val="009D39B3"/>
    <w:rsid w:val="009E163E"/>
    <w:rsid w:val="00A009C7"/>
    <w:rsid w:val="00A21ED8"/>
    <w:rsid w:val="00A33977"/>
    <w:rsid w:val="00A66EA0"/>
    <w:rsid w:val="00A90527"/>
    <w:rsid w:val="00A92669"/>
    <w:rsid w:val="00AA5ABA"/>
    <w:rsid w:val="00AC4585"/>
    <w:rsid w:val="00AD2709"/>
    <w:rsid w:val="00AD69F8"/>
    <w:rsid w:val="00AF202C"/>
    <w:rsid w:val="00AF28C8"/>
    <w:rsid w:val="00B1508B"/>
    <w:rsid w:val="00B169C2"/>
    <w:rsid w:val="00B21257"/>
    <w:rsid w:val="00B52F4D"/>
    <w:rsid w:val="00B5613A"/>
    <w:rsid w:val="00B83ADE"/>
    <w:rsid w:val="00B90959"/>
    <w:rsid w:val="00B92E32"/>
    <w:rsid w:val="00B93FA8"/>
    <w:rsid w:val="00B9443F"/>
    <w:rsid w:val="00BB37CB"/>
    <w:rsid w:val="00BB57AF"/>
    <w:rsid w:val="00BC7022"/>
    <w:rsid w:val="00BD5DA3"/>
    <w:rsid w:val="00BE6267"/>
    <w:rsid w:val="00BF46F2"/>
    <w:rsid w:val="00C023A2"/>
    <w:rsid w:val="00C14041"/>
    <w:rsid w:val="00C15F5A"/>
    <w:rsid w:val="00C37A8F"/>
    <w:rsid w:val="00C426ED"/>
    <w:rsid w:val="00C44C2D"/>
    <w:rsid w:val="00C660A4"/>
    <w:rsid w:val="00C668D0"/>
    <w:rsid w:val="00C71A64"/>
    <w:rsid w:val="00C72CFB"/>
    <w:rsid w:val="00C75040"/>
    <w:rsid w:val="00CA2F23"/>
    <w:rsid w:val="00CA3775"/>
    <w:rsid w:val="00CA552C"/>
    <w:rsid w:val="00CC7CBB"/>
    <w:rsid w:val="00CD1EAF"/>
    <w:rsid w:val="00CD2826"/>
    <w:rsid w:val="00CE5D44"/>
    <w:rsid w:val="00CF58F2"/>
    <w:rsid w:val="00CF6693"/>
    <w:rsid w:val="00CF7851"/>
    <w:rsid w:val="00D00331"/>
    <w:rsid w:val="00D0308A"/>
    <w:rsid w:val="00D07365"/>
    <w:rsid w:val="00D2229E"/>
    <w:rsid w:val="00D24DCF"/>
    <w:rsid w:val="00D46EF2"/>
    <w:rsid w:val="00D54478"/>
    <w:rsid w:val="00D6399B"/>
    <w:rsid w:val="00D668AB"/>
    <w:rsid w:val="00D75DD5"/>
    <w:rsid w:val="00D8655E"/>
    <w:rsid w:val="00D946C0"/>
    <w:rsid w:val="00DB42E5"/>
    <w:rsid w:val="00DC1B6C"/>
    <w:rsid w:val="00DC43E1"/>
    <w:rsid w:val="00DC4D03"/>
    <w:rsid w:val="00DD60FE"/>
    <w:rsid w:val="00DF0C80"/>
    <w:rsid w:val="00E001A8"/>
    <w:rsid w:val="00E0357E"/>
    <w:rsid w:val="00E16823"/>
    <w:rsid w:val="00E321DC"/>
    <w:rsid w:val="00E34AB4"/>
    <w:rsid w:val="00E53FA0"/>
    <w:rsid w:val="00E6392C"/>
    <w:rsid w:val="00E66958"/>
    <w:rsid w:val="00E6778E"/>
    <w:rsid w:val="00E705DE"/>
    <w:rsid w:val="00E70D1F"/>
    <w:rsid w:val="00E734CD"/>
    <w:rsid w:val="00E82F09"/>
    <w:rsid w:val="00E97EC0"/>
    <w:rsid w:val="00EC20A1"/>
    <w:rsid w:val="00ED7C44"/>
    <w:rsid w:val="00EE097B"/>
    <w:rsid w:val="00EF61BB"/>
    <w:rsid w:val="00F107CB"/>
    <w:rsid w:val="00F10BEB"/>
    <w:rsid w:val="00F2440F"/>
    <w:rsid w:val="00F314C7"/>
    <w:rsid w:val="00F51908"/>
    <w:rsid w:val="00F52EC4"/>
    <w:rsid w:val="00F544DF"/>
    <w:rsid w:val="00F7040B"/>
    <w:rsid w:val="00F7143C"/>
    <w:rsid w:val="00F851E6"/>
    <w:rsid w:val="00FB3942"/>
    <w:rsid w:val="00FB41CB"/>
    <w:rsid w:val="00FC617E"/>
    <w:rsid w:val="00FE39C8"/>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92A364"/>
  <w15:chartTrackingRefBased/>
  <w15:docId w15:val="{F16E6173-380D-448A-A926-48BCCB7C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Normal"/>
    <w:next w:val="Normal"/>
    <w:link w:val="Heading1Char"/>
    <w:uiPriority w:val="9"/>
    <w:qFormat/>
    <w:rsid w:val="004A41EA"/>
    <w:pPr>
      <w:jc w:val="center"/>
      <w:outlineLvl w:val="0"/>
    </w:pPr>
    <w:rPr>
      <w:sz w:val="28"/>
      <w:szCs w:val="28"/>
    </w:r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4A41EA"/>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iPriority w:val="99"/>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A41EA"/>
    <w:pPr>
      <w:spacing w:before="600" w:after="200"/>
    </w:pPr>
    <w:rPr>
      <w:b/>
      <w:color w:val="FF4539"/>
      <w:sz w:val="48"/>
      <w:szCs w:val="48"/>
    </w:rPr>
  </w:style>
  <w:style w:type="character" w:customStyle="1" w:styleId="TitleChar">
    <w:name w:val="Title Char"/>
    <w:basedOn w:val="DefaultParagraphFont"/>
    <w:link w:val="Title"/>
    <w:uiPriority w:val="10"/>
    <w:rsid w:val="004A41EA"/>
    <w:rPr>
      <w:b/>
      <w:color w:val="FF4539"/>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4A41EA"/>
    <w:rPr>
      <w:sz w:val="28"/>
      <w:szCs w:val="28"/>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4A41EA"/>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character" w:customStyle="1" w:styleId="apple-converted-space">
    <w:name w:val="apple-converted-space"/>
    <w:basedOn w:val="DefaultParagraphFont"/>
    <w:rsid w:val="00CD2826"/>
  </w:style>
  <w:style w:type="character" w:styleId="FollowedHyperlink">
    <w:name w:val="FollowedHyperlink"/>
    <w:basedOn w:val="DefaultParagraphFont"/>
    <w:uiPriority w:val="99"/>
    <w:semiHidden/>
    <w:unhideWhenUsed/>
    <w:rsid w:val="00030836"/>
    <w:rPr>
      <w:color w:val="954F72" w:themeColor="followedHyperlink"/>
      <w:u w:val="single"/>
    </w:rPr>
  </w:style>
  <w:style w:type="paragraph" w:styleId="NormalWeb">
    <w:name w:val="Normal (Web)"/>
    <w:basedOn w:val="Normal"/>
    <w:uiPriority w:val="99"/>
    <w:semiHidden/>
    <w:unhideWhenUsed/>
    <w:rsid w:val="008C75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semiHidden/>
    <w:unhideWhenUsed/>
    <w:rsid w:val="00675BC2"/>
    <w:rPr>
      <w:vertAlign w:val="superscript"/>
    </w:rPr>
  </w:style>
  <w:style w:type="character" w:styleId="Strong">
    <w:name w:val="Strong"/>
    <w:basedOn w:val="DefaultParagraphFont"/>
    <w:uiPriority w:val="22"/>
    <w:qFormat/>
    <w:rsid w:val="00043D11"/>
    <w:rPr>
      <w:b/>
      <w:bCs/>
    </w:rPr>
  </w:style>
  <w:style w:type="character" w:styleId="CommentReference">
    <w:name w:val="annotation reference"/>
    <w:basedOn w:val="DefaultParagraphFont"/>
    <w:uiPriority w:val="99"/>
    <w:semiHidden/>
    <w:unhideWhenUsed/>
    <w:rsid w:val="00985256"/>
    <w:rPr>
      <w:sz w:val="16"/>
      <w:szCs w:val="16"/>
    </w:rPr>
  </w:style>
  <w:style w:type="paragraph" w:styleId="CommentText">
    <w:name w:val="annotation text"/>
    <w:basedOn w:val="Normal"/>
    <w:link w:val="CommentTextChar"/>
    <w:uiPriority w:val="99"/>
    <w:semiHidden/>
    <w:unhideWhenUsed/>
    <w:rsid w:val="00985256"/>
    <w:pPr>
      <w:spacing w:line="240" w:lineRule="auto"/>
    </w:pPr>
    <w:rPr>
      <w:sz w:val="20"/>
      <w:szCs w:val="20"/>
    </w:rPr>
  </w:style>
  <w:style w:type="character" w:customStyle="1" w:styleId="CommentTextChar">
    <w:name w:val="Comment Text Char"/>
    <w:basedOn w:val="DefaultParagraphFont"/>
    <w:link w:val="CommentText"/>
    <w:uiPriority w:val="99"/>
    <w:semiHidden/>
    <w:rsid w:val="00985256"/>
    <w:rPr>
      <w:sz w:val="20"/>
      <w:szCs w:val="20"/>
    </w:rPr>
  </w:style>
  <w:style w:type="paragraph" w:styleId="CommentSubject">
    <w:name w:val="annotation subject"/>
    <w:basedOn w:val="CommentText"/>
    <w:next w:val="CommentText"/>
    <w:link w:val="CommentSubjectChar"/>
    <w:uiPriority w:val="99"/>
    <w:semiHidden/>
    <w:unhideWhenUsed/>
    <w:rsid w:val="00985256"/>
    <w:rPr>
      <w:b/>
      <w:bCs/>
    </w:rPr>
  </w:style>
  <w:style w:type="character" w:customStyle="1" w:styleId="CommentSubjectChar">
    <w:name w:val="Comment Subject Char"/>
    <w:basedOn w:val="CommentTextChar"/>
    <w:link w:val="CommentSubject"/>
    <w:uiPriority w:val="99"/>
    <w:semiHidden/>
    <w:rsid w:val="00985256"/>
    <w:rPr>
      <w:b/>
      <w:bCs/>
      <w:sz w:val="20"/>
      <w:szCs w:val="20"/>
    </w:rPr>
  </w:style>
  <w:style w:type="paragraph" w:styleId="BalloonText">
    <w:name w:val="Balloon Text"/>
    <w:basedOn w:val="Normal"/>
    <w:link w:val="BalloonTextChar"/>
    <w:uiPriority w:val="99"/>
    <w:semiHidden/>
    <w:unhideWhenUsed/>
    <w:rsid w:val="00985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4361">
      <w:bodyDiv w:val="1"/>
      <w:marLeft w:val="0"/>
      <w:marRight w:val="0"/>
      <w:marTop w:val="0"/>
      <w:marBottom w:val="0"/>
      <w:divBdr>
        <w:top w:val="none" w:sz="0" w:space="0" w:color="auto"/>
        <w:left w:val="none" w:sz="0" w:space="0" w:color="auto"/>
        <w:bottom w:val="none" w:sz="0" w:space="0" w:color="auto"/>
        <w:right w:val="none" w:sz="0" w:space="0" w:color="auto"/>
      </w:divBdr>
    </w:div>
    <w:div w:id="203443986">
      <w:bodyDiv w:val="1"/>
      <w:marLeft w:val="0"/>
      <w:marRight w:val="0"/>
      <w:marTop w:val="0"/>
      <w:marBottom w:val="0"/>
      <w:divBdr>
        <w:top w:val="none" w:sz="0" w:space="0" w:color="auto"/>
        <w:left w:val="none" w:sz="0" w:space="0" w:color="auto"/>
        <w:bottom w:val="none" w:sz="0" w:space="0" w:color="auto"/>
        <w:right w:val="none" w:sz="0" w:space="0" w:color="auto"/>
      </w:divBdr>
    </w:div>
    <w:div w:id="367025603">
      <w:bodyDiv w:val="1"/>
      <w:marLeft w:val="0"/>
      <w:marRight w:val="0"/>
      <w:marTop w:val="0"/>
      <w:marBottom w:val="0"/>
      <w:divBdr>
        <w:top w:val="none" w:sz="0" w:space="0" w:color="auto"/>
        <w:left w:val="none" w:sz="0" w:space="0" w:color="auto"/>
        <w:bottom w:val="none" w:sz="0" w:space="0" w:color="auto"/>
        <w:right w:val="none" w:sz="0" w:space="0" w:color="auto"/>
      </w:divBdr>
    </w:div>
    <w:div w:id="375928258">
      <w:bodyDiv w:val="1"/>
      <w:marLeft w:val="0"/>
      <w:marRight w:val="0"/>
      <w:marTop w:val="0"/>
      <w:marBottom w:val="0"/>
      <w:divBdr>
        <w:top w:val="none" w:sz="0" w:space="0" w:color="auto"/>
        <w:left w:val="none" w:sz="0" w:space="0" w:color="auto"/>
        <w:bottom w:val="none" w:sz="0" w:space="0" w:color="auto"/>
        <w:right w:val="none" w:sz="0" w:space="0" w:color="auto"/>
      </w:divBdr>
    </w:div>
    <w:div w:id="541358844">
      <w:bodyDiv w:val="1"/>
      <w:marLeft w:val="0"/>
      <w:marRight w:val="0"/>
      <w:marTop w:val="0"/>
      <w:marBottom w:val="0"/>
      <w:divBdr>
        <w:top w:val="none" w:sz="0" w:space="0" w:color="auto"/>
        <w:left w:val="none" w:sz="0" w:space="0" w:color="auto"/>
        <w:bottom w:val="none" w:sz="0" w:space="0" w:color="auto"/>
        <w:right w:val="none" w:sz="0" w:space="0" w:color="auto"/>
      </w:divBdr>
    </w:div>
    <w:div w:id="575674998">
      <w:bodyDiv w:val="1"/>
      <w:marLeft w:val="0"/>
      <w:marRight w:val="0"/>
      <w:marTop w:val="0"/>
      <w:marBottom w:val="0"/>
      <w:divBdr>
        <w:top w:val="none" w:sz="0" w:space="0" w:color="auto"/>
        <w:left w:val="none" w:sz="0" w:space="0" w:color="auto"/>
        <w:bottom w:val="none" w:sz="0" w:space="0" w:color="auto"/>
        <w:right w:val="none" w:sz="0" w:space="0" w:color="auto"/>
      </w:divBdr>
    </w:div>
    <w:div w:id="665547306">
      <w:bodyDiv w:val="1"/>
      <w:marLeft w:val="0"/>
      <w:marRight w:val="0"/>
      <w:marTop w:val="0"/>
      <w:marBottom w:val="0"/>
      <w:divBdr>
        <w:top w:val="none" w:sz="0" w:space="0" w:color="auto"/>
        <w:left w:val="none" w:sz="0" w:space="0" w:color="auto"/>
        <w:bottom w:val="none" w:sz="0" w:space="0" w:color="auto"/>
        <w:right w:val="none" w:sz="0" w:space="0" w:color="auto"/>
      </w:divBdr>
    </w:div>
    <w:div w:id="705329821">
      <w:bodyDiv w:val="1"/>
      <w:marLeft w:val="0"/>
      <w:marRight w:val="0"/>
      <w:marTop w:val="0"/>
      <w:marBottom w:val="0"/>
      <w:divBdr>
        <w:top w:val="none" w:sz="0" w:space="0" w:color="auto"/>
        <w:left w:val="none" w:sz="0" w:space="0" w:color="auto"/>
        <w:bottom w:val="none" w:sz="0" w:space="0" w:color="auto"/>
        <w:right w:val="none" w:sz="0" w:space="0" w:color="auto"/>
      </w:divBdr>
    </w:div>
    <w:div w:id="926577892">
      <w:bodyDiv w:val="1"/>
      <w:marLeft w:val="0"/>
      <w:marRight w:val="0"/>
      <w:marTop w:val="0"/>
      <w:marBottom w:val="0"/>
      <w:divBdr>
        <w:top w:val="none" w:sz="0" w:space="0" w:color="auto"/>
        <w:left w:val="none" w:sz="0" w:space="0" w:color="auto"/>
        <w:bottom w:val="none" w:sz="0" w:space="0" w:color="auto"/>
        <w:right w:val="none" w:sz="0" w:space="0" w:color="auto"/>
      </w:divBdr>
    </w:div>
    <w:div w:id="1089809372">
      <w:bodyDiv w:val="1"/>
      <w:marLeft w:val="0"/>
      <w:marRight w:val="0"/>
      <w:marTop w:val="0"/>
      <w:marBottom w:val="0"/>
      <w:divBdr>
        <w:top w:val="none" w:sz="0" w:space="0" w:color="auto"/>
        <w:left w:val="none" w:sz="0" w:space="0" w:color="auto"/>
        <w:bottom w:val="none" w:sz="0" w:space="0" w:color="auto"/>
        <w:right w:val="none" w:sz="0" w:space="0" w:color="auto"/>
      </w:divBdr>
    </w:div>
    <w:div w:id="1109277479">
      <w:bodyDiv w:val="1"/>
      <w:marLeft w:val="0"/>
      <w:marRight w:val="0"/>
      <w:marTop w:val="0"/>
      <w:marBottom w:val="0"/>
      <w:divBdr>
        <w:top w:val="none" w:sz="0" w:space="0" w:color="auto"/>
        <w:left w:val="none" w:sz="0" w:space="0" w:color="auto"/>
        <w:bottom w:val="none" w:sz="0" w:space="0" w:color="auto"/>
        <w:right w:val="none" w:sz="0" w:space="0" w:color="auto"/>
      </w:divBdr>
    </w:div>
    <w:div w:id="1121269134">
      <w:bodyDiv w:val="1"/>
      <w:marLeft w:val="0"/>
      <w:marRight w:val="0"/>
      <w:marTop w:val="0"/>
      <w:marBottom w:val="0"/>
      <w:divBdr>
        <w:top w:val="none" w:sz="0" w:space="0" w:color="auto"/>
        <w:left w:val="none" w:sz="0" w:space="0" w:color="auto"/>
        <w:bottom w:val="none" w:sz="0" w:space="0" w:color="auto"/>
        <w:right w:val="none" w:sz="0" w:space="0" w:color="auto"/>
      </w:divBdr>
    </w:div>
    <w:div w:id="1311901817">
      <w:bodyDiv w:val="1"/>
      <w:marLeft w:val="0"/>
      <w:marRight w:val="0"/>
      <w:marTop w:val="0"/>
      <w:marBottom w:val="0"/>
      <w:divBdr>
        <w:top w:val="none" w:sz="0" w:space="0" w:color="auto"/>
        <w:left w:val="none" w:sz="0" w:space="0" w:color="auto"/>
        <w:bottom w:val="none" w:sz="0" w:space="0" w:color="auto"/>
        <w:right w:val="none" w:sz="0" w:space="0" w:color="auto"/>
      </w:divBdr>
    </w:div>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 w:id="1645967466">
      <w:bodyDiv w:val="1"/>
      <w:marLeft w:val="0"/>
      <w:marRight w:val="0"/>
      <w:marTop w:val="0"/>
      <w:marBottom w:val="0"/>
      <w:divBdr>
        <w:top w:val="none" w:sz="0" w:space="0" w:color="auto"/>
        <w:left w:val="none" w:sz="0" w:space="0" w:color="auto"/>
        <w:bottom w:val="none" w:sz="0" w:space="0" w:color="auto"/>
        <w:right w:val="none" w:sz="0" w:space="0" w:color="auto"/>
      </w:divBdr>
    </w:div>
    <w:div w:id="1765301936">
      <w:bodyDiv w:val="1"/>
      <w:marLeft w:val="0"/>
      <w:marRight w:val="0"/>
      <w:marTop w:val="0"/>
      <w:marBottom w:val="0"/>
      <w:divBdr>
        <w:top w:val="none" w:sz="0" w:space="0" w:color="auto"/>
        <w:left w:val="none" w:sz="0" w:space="0" w:color="auto"/>
        <w:bottom w:val="none" w:sz="0" w:space="0" w:color="auto"/>
        <w:right w:val="none" w:sz="0" w:space="0" w:color="auto"/>
      </w:divBdr>
    </w:div>
    <w:div w:id="1776359525">
      <w:bodyDiv w:val="1"/>
      <w:marLeft w:val="0"/>
      <w:marRight w:val="0"/>
      <w:marTop w:val="0"/>
      <w:marBottom w:val="0"/>
      <w:divBdr>
        <w:top w:val="none" w:sz="0" w:space="0" w:color="auto"/>
        <w:left w:val="none" w:sz="0" w:space="0" w:color="auto"/>
        <w:bottom w:val="none" w:sz="0" w:space="0" w:color="auto"/>
        <w:right w:val="none" w:sz="0" w:space="0" w:color="auto"/>
      </w:divBdr>
    </w:div>
    <w:div w:id="20954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EF57056BDB047E2FCA257BF000206168/$File/12291_PC-Strateg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lliativecare.org.au/wp-content/uploads/dlm_uploads/2019/02/Palliative-Care-2030-public.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www.facebook.com/palliativecareaustralia" TargetMode="External"/><Relationship Id="rId1" Type="http://schemas.openxmlformats.org/officeDocument/2006/relationships/hyperlink" Target="http://www.palliativecare.org.au" TargetMode="External"/><Relationship Id="rId6" Type="http://schemas.openxmlformats.org/officeDocument/2006/relationships/hyperlink" Target="https://www.youtube.com/pallcareaustralia" TargetMode="External"/><Relationship Id="rId5" Type="http://schemas.openxmlformats.org/officeDocument/2006/relationships/image" Target="media/image3.png"/><Relationship Id="rId4" Type="http://schemas.openxmlformats.org/officeDocument/2006/relationships/hyperlink" Target="https://twitter.com/Pall_Care_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Communications%202018\Media%20Releases\2018_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9FC9-DE57-420D-A2DD-A7780013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2018_Media Release Template</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Keyworth</dc:creator>
  <cp:keywords/>
  <dc:description/>
  <cp:lastModifiedBy>Grace Keyworth</cp:lastModifiedBy>
  <cp:revision>2</cp:revision>
  <dcterms:created xsi:type="dcterms:W3CDTF">2019-02-27T06:43:00Z</dcterms:created>
  <dcterms:modified xsi:type="dcterms:W3CDTF">2019-02-27T06:43:00Z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