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DE" w:rsidRPr="000930DE" w:rsidRDefault="000930DE" w:rsidP="000930DE">
      <w:pPr>
        <w:pBdr>
          <w:bottom w:val="single" w:sz="4" w:space="1" w:color="auto"/>
        </w:pBdr>
        <w:rPr>
          <w:b/>
          <w:color w:val="003057"/>
          <w:sz w:val="48"/>
          <w:szCs w:val="48"/>
        </w:rPr>
      </w:pPr>
      <w:r w:rsidRPr="000930DE">
        <w:rPr>
          <w:b/>
          <w:color w:val="003057"/>
          <w:sz w:val="48"/>
          <w:szCs w:val="48"/>
        </w:rPr>
        <w:t>National Palliative Care Grant Recipients’ Forum</w:t>
      </w:r>
    </w:p>
    <w:p w:rsidR="00556A82" w:rsidRPr="000930DE" w:rsidRDefault="00556A82">
      <w:pPr>
        <w:rPr>
          <w:b/>
          <w:color w:val="FF4839"/>
          <w:sz w:val="40"/>
          <w:szCs w:val="40"/>
        </w:rPr>
      </w:pPr>
      <w:bookmarkStart w:id="0" w:name="_GoBack"/>
      <w:r w:rsidRPr="000930DE">
        <w:rPr>
          <w:b/>
          <w:color w:val="FF4839"/>
          <w:sz w:val="40"/>
          <w:szCs w:val="40"/>
        </w:rPr>
        <w:t>Action Plan</w:t>
      </w:r>
      <w:r w:rsidR="000930DE">
        <w:rPr>
          <w:b/>
          <w:color w:val="FF4839"/>
          <w:sz w:val="40"/>
          <w:szCs w:val="40"/>
        </w:rPr>
        <w:t xml:space="preserve"> for Cross-</w:t>
      </w:r>
      <w:r w:rsidR="008C3921" w:rsidRPr="000930DE">
        <w:rPr>
          <w:b/>
          <w:color w:val="FF4839"/>
          <w:sz w:val="40"/>
          <w:szCs w:val="40"/>
        </w:rPr>
        <w:t>Project Collaboration</w:t>
      </w:r>
    </w:p>
    <w:tbl>
      <w:tblPr>
        <w:tblStyle w:val="TableGrid"/>
        <w:tblW w:w="0" w:type="auto"/>
        <w:tblInd w:w="0" w:type="dxa"/>
        <w:tblLook w:val="04A0" w:firstRow="1" w:lastRow="0" w:firstColumn="1" w:lastColumn="0" w:noHBand="0" w:noVBand="1"/>
      </w:tblPr>
      <w:tblGrid>
        <w:gridCol w:w="2943"/>
        <w:gridCol w:w="7477"/>
      </w:tblGrid>
      <w:tr w:rsidR="00A43CE7" w:rsidTr="00A43CE7">
        <w:trPr>
          <w:trHeight w:val="53"/>
          <w:tblHeader/>
        </w:trPr>
        <w:tc>
          <w:tcPr>
            <w:tcW w:w="2943" w:type="dxa"/>
            <w:shd w:val="clear" w:color="auto" w:fill="003057"/>
          </w:tcPr>
          <w:bookmarkEnd w:id="0"/>
          <w:p w:rsidR="00A43CE7" w:rsidRPr="00556A82" w:rsidRDefault="00A43CE7" w:rsidP="00A43CE7">
            <w:pPr>
              <w:spacing w:before="60" w:after="60"/>
              <w:rPr>
                <w:b/>
                <w:sz w:val="24"/>
                <w:szCs w:val="24"/>
              </w:rPr>
            </w:pPr>
            <w:r>
              <w:rPr>
                <w:b/>
                <w:sz w:val="24"/>
                <w:szCs w:val="24"/>
              </w:rPr>
              <w:t>Organisation</w:t>
            </w:r>
          </w:p>
        </w:tc>
        <w:tc>
          <w:tcPr>
            <w:tcW w:w="7477" w:type="dxa"/>
            <w:shd w:val="clear" w:color="auto" w:fill="003057"/>
          </w:tcPr>
          <w:p w:rsidR="00A43CE7" w:rsidRPr="00A43CE7" w:rsidRDefault="00A43CE7" w:rsidP="00A43CE7">
            <w:pPr>
              <w:spacing w:before="60" w:after="60"/>
              <w:rPr>
                <w:b/>
                <w:sz w:val="24"/>
                <w:szCs w:val="24"/>
              </w:rPr>
            </w:pPr>
            <w:r>
              <w:rPr>
                <w:b/>
                <w:sz w:val="24"/>
                <w:szCs w:val="24"/>
              </w:rPr>
              <w:t>Action items</w:t>
            </w:r>
          </w:p>
        </w:tc>
      </w:tr>
      <w:tr w:rsidR="00556A82" w:rsidTr="00A43CE7">
        <w:trPr>
          <w:trHeight w:val="1325"/>
        </w:trPr>
        <w:tc>
          <w:tcPr>
            <w:tcW w:w="2943" w:type="dxa"/>
          </w:tcPr>
          <w:p w:rsidR="00556A82" w:rsidRPr="00556A82" w:rsidRDefault="00556A82" w:rsidP="00556A82">
            <w:pPr>
              <w:spacing w:before="60" w:after="60"/>
              <w:rPr>
                <w:b/>
                <w:sz w:val="24"/>
                <w:szCs w:val="24"/>
              </w:rPr>
            </w:pPr>
            <w:r w:rsidRPr="00556A82">
              <w:rPr>
                <w:b/>
                <w:sz w:val="24"/>
                <w:szCs w:val="24"/>
              </w:rPr>
              <w:t>Australian Healthcare and Hospitals Association</w:t>
            </w:r>
          </w:p>
        </w:tc>
        <w:tc>
          <w:tcPr>
            <w:tcW w:w="7477" w:type="dxa"/>
          </w:tcPr>
          <w:p w:rsidR="00556A82" w:rsidRPr="008C3921" w:rsidRDefault="003C1714" w:rsidP="009067E0">
            <w:pPr>
              <w:pStyle w:val="ListParagraph"/>
              <w:numPr>
                <w:ilvl w:val="0"/>
                <w:numId w:val="16"/>
              </w:numPr>
              <w:spacing w:before="60" w:after="60"/>
              <w:ind w:left="317" w:hanging="284"/>
              <w:rPr>
                <w:sz w:val="24"/>
                <w:szCs w:val="24"/>
              </w:rPr>
            </w:pPr>
            <w:r>
              <w:rPr>
                <w:b/>
                <w:sz w:val="24"/>
                <w:szCs w:val="24"/>
              </w:rPr>
              <w:t>Other online training providers</w:t>
            </w:r>
            <w:r>
              <w:rPr>
                <w:sz w:val="24"/>
                <w:szCs w:val="24"/>
              </w:rPr>
              <w:t xml:space="preserve"> – investigate opportunities for collaboration to maximise opportunities for cross-promotion, marketing and awareness activities; resulting in greater efficiencies and increased awareness of all the online training projects.</w:t>
            </w:r>
          </w:p>
        </w:tc>
      </w:tr>
      <w:tr w:rsidR="00556A82" w:rsidTr="00A43CE7">
        <w:trPr>
          <w:trHeight w:val="1052"/>
        </w:trPr>
        <w:tc>
          <w:tcPr>
            <w:tcW w:w="2943" w:type="dxa"/>
          </w:tcPr>
          <w:p w:rsidR="00556A82" w:rsidRPr="00556A82" w:rsidRDefault="00556A82" w:rsidP="00556A82">
            <w:pPr>
              <w:spacing w:before="60" w:after="60"/>
              <w:rPr>
                <w:b/>
                <w:sz w:val="24"/>
                <w:szCs w:val="24"/>
              </w:rPr>
            </w:pPr>
            <w:r>
              <w:rPr>
                <w:b/>
                <w:sz w:val="24"/>
                <w:szCs w:val="24"/>
              </w:rPr>
              <w:t>Cabrini Health</w:t>
            </w:r>
          </w:p>
        </w:tc>
        <w:tc>
          <w:tcPr>
            <w:tcW w:w="7477" w:type="dxa"/>
          </w:tcPr>
          <w:p w:rsidR="00556A82" w:rsidRDefault="00C400D9" w:rsidP="009067E0">
            <w:pPr>
              <w:pStyle w:val="ListParagraph"/>
              <w:numPr>
                <w:ilvl w:val="0"/>
                <w:numId w:val="16"/>
              </w:numPr>
              <w:spacing w:before="60" w:after="60"/>
              <w:ind w:left="317" w:hanging="317"/>
              <w:rPr>
                <w:sz w:val="24"/>
                <w:szCs w:val="24"/>
              </w:rPr>
            </w:pPr>
            <w:r w:rsidRPr="003C1714">
              <w:rPr>
                <w:b/>
                <w:sz w:val="24"/>
                <w:szCs w:val="24"/>
              </w:rPr>
              <w:t xml:space="preserve">AHHA </w:t>
            </w:r>
            <w:r w:rsidR="003C1714">
              <w:rPr>
                <w:b/>
                <w:sz w:val="24"/>
                <w:szCs w:val="24"/>
              </w:rPr>
              <w:t xml:space="preserve">&amp; </w:t>
            </w:r>
            <w:proofErr w:type="spellStart"/>
            <w:r w:rsidR="003C1714">
              <w:rPr>
                <w:b/>
                <w:sz w:val="24"/>
                <w:szCs w:val="24"/>
              </w:rPr>
              <w:t>QuoCCA</w:t>
            </w:r>
            <w:proofErr w:type="spellEnd"/>
            <w:r w:rsidR="003C1714">
              <w:rPr>
                <w:b/>
                <w:sz w:val="24"/>
                <w:szCs w:val="24"/>
              </w:rPr>
              <w:t xml:space="preserve"> </w:t>
            </w:r>
            <w:r>
              <w:rPr>
                <w:sz w:val="24"/>
                <w:szCs w:val="24"/>
              </w:rPr>
              <w:t>–</w:t>
            </w:r>
            <w:r w:rsidR="003C1714">
              <w:rPr>
                <w:sz w:val="24"/>
                <w:szCs w:val="24"/>
              </w:rPr>
              <w:t xml:space="preserve"> c</w:t>
            </w:r>
            <w:r>
              <w:rPr>
                <w:sz w:val="24"/>
                <w:szCs w:val="24"/>
              </w:rPr>
              <w:t>ross promotion</w:t>
            </w:r>
            <w:r w:rsidR="003C1714">
              <w:rPr>
                <w:sz w:val="24"/>
                <w:szCs w:val="24"/>
              </w:rPr>
              <w:t xml:space="preserve"> to share resources and increase information dissemination.</w:t>
            </w:r>
          </w:p>
          <w:p w:rsidR="00C400D9" w:rsidRPr="008C3921" w:rsidRDefault="00C400D9" w:rsidP="009067E0">
            <w:pPr>
              <w:pStyle w:val="ListParagraph"/>
              <w:numPr>
                <w:ilvl w:val="0"/>
                <w:numId w:val="16"/>
              </w:numPr>
              <w:spacing w:before="60" w:after="60"/>
              <w:ind w:left="317" w:hanging="317"/>
              <w:rPr>
                <w:sz w:val="24"/>
                <w:szCs w:val="24"/>
              </w:rPr>
            </w:pPr>
            <w:r w:rsidRPr="003C1714">
              <w:rPr>
                <w:b/>
                <w:sz w:val="24"/>
                <w:szCs w:val="24"/>
              </w:rPr>
              <w:t>Austin Health</w:t>
            </w:r>
            <w:r>
              <w:rPr>
                <w:sz w:val="24"/>
                <w:szCs w:val="24"/>
              </w:rPr>
              <w:t xml:space="preserve"> – </w:t>
            </w:r>
            <w:r w:rsidR="003C1714">
              <w:rPr>
                <w:sz w:val="24"/>
                <w:szCs w:val="24"/>
              </w:rPr>
              <w:t>cross promotion and sharing of expertise and resource development</w:t>
            </w:r>
            <w:r w:rsidR="009067E0">
              <w:rPr>
                <w:sz w:val="24"/>
                <w:szCs w:val="24"/>
              </w:rPr>
              <w:t>.</w:t>
            </w:r>
          </w:p>
        </w:tc>
      </w:tr>
      <w:tr w:rsidR="00556A82" w:rsidTr="00A43CE7">
        <w:trPr>
          <w:trHeight w:val="348"/>
        </w:trPr>
        <w:tc>
          <w:tcPr>
            <w:tcW w:w="2943" w:type="dxa"/>
          </w:tcPr>
          <w:p w:rsidR="00556A82" w:rsidRPr="00556A82" w:rsidRDefault="00556A82" w:rsidP="00556A82">
            <w:pPr>
              <w:spacing w:before="60" w:after="60"/>
              <w:rPr>
                <w:b/>
                <w:sz w:val="24"/>
                <w:szCs w:val="24"/>
              </w:rPr>
            </w:pPr>
            <w:r>
              <w:rPr>
                <w:b/>
                <w:sz w:val="24"/>
                <w:szCs w:val="24"/>
              </w:rPr>
              <w:t>Carers Australia</w:t>
            </w:r>
          </w:p>
        </w:tc>
        <w:tc>
          <w:tcPr>
            <w:tcW w:w="7477" w:type="dxa"/>
          </w:tcPr>
          <w:p w:rsidR="00556A82" w:rsidRPr="00A43CE7" w:rsidRDefault="00C400D9" w:rsidP="009067E0">
            <w:pPr>
              <w:pStyle w:val="ListParagraph"/>
              <w:numPr>
                <w:ilvl w:val="0"/>
                <w:numId w:val="16"/>
              </w:numPr>
              <w:spacing w:before="60" w:after="60"/>
              <w:ind w:left="317" w:hanging="317"/>
              <w:rPr>
                <w:b/>
                <w:sz w:val="24"/>
                <w:szCs w:val="24"/>
              </w:rPr>
            </w:pPr>
            <w:r w:rsidRPr="003C1714">
              <w:rPr>
                <w:b/>
                <w:sz w:val="24"/>
                <w:szCs w:val="24"/>
              </w:rPr>
              <w:t xml:space="preserve">PEPA </w:t>
            </w:r>
            <w:r w:rsidRPr="003C1714">
              <w:rPr>
                <w:sz w:val="24"/>
                <w:szCs w:val="24"/>
              </w:rPr>
              <w:t>–</w:t>
            </w:r>
            <w:r w:rsidR="003C1714" w:rsidRPr="003C1714">
              <w:rPr>
                <w:b/>
                <w:sz w:val="24"/>
                <w:szCs w:val="24"/>
              </w:rPr>
              <w:t xml:space="preserve"> </w:t>
            </w:r>
            <w:r w:rsidR="003C1714">
              <w:rPr>
                <w:sz w:val="24"/>
                <w:szCs w:val="24"/>
              </w:rPr>
              <w:t xml:space="preserve">promotion </w:t>
            </w:r>
            <w:r w:rsidRPr="003C1714">
              <w:rPr>
                <w:sz w:val="24"/>
                <w:szCs w:val="24"/>
              </w:rPr>
              <w:t>to counsellors of carers</w:t>
            </w:r>
            <w:r w:rsidR="003C1714">
              <w:rPr>
                <w:sz w:val="24"/>
                <w:szCs w:val="24"/>
              </w:rPr>
              <w:t>.</w:t>
            </w:r>
          </w:p>
          <w:p w:rsidR="00A43CE7" w:rsidRPr="003C1714" w:rsidRDefault="00A43CE7" w:rsidP="009067E0">
            <w:pPr>
              <w:pStyle w:val="ListParagraph"/>
              <w:numPr>
                <w:ilvl w:val="0"/>
                <w:numId w:val="16"/>
              </w:numPr>
              <w:spacing w:before="60" w:after="60"/>
              <w:ind w:left="317" w:hanging="317"/>
              <w:rPr>
                <w:b/>
                <w:sz w:val="24"/>
                <w:szCs w:val="24"/>
              </w:rPr>
            </w:pPr>
            <w:proofErr w:type="spellStart"/>
            <w:r>
              <w:rPr>
                <w:b/>
                <w:sz w:val="24"/>
                <w:szCs w:val="24"/>
              </w:rPr>
              <w:t>HammondCare</w:t>
            </w:r>
            <w:proofErr w:type="spellEnd"/>
            <w:r>
              <w:rPr>
                <w:sz w:val="24"/>
                <w:szCs w:val="24"/>
              </w:rPr>
              <w:t xml:space="preserve"> – provide consumer input on patient tools.</w:t>
            </w:r>
          </w:p>
        </w:tc>
      </w:tr>
      <w:tr w:rsidR="00556A82" w:rsidTr="00A43CE7">
        <w:trPr>
          <w:trHeight w:val="2046"/>
        </w:trPr>
        <w:tc>
          <w:tcPr>
            <w:tcW w:w="2943" w:type="dxa"/>
          </w:tcPr>
          <w:p w:rsidR="00556A82" w:rsidRPr="00556A82" w:rsidRDefault="00556A82" w:rsidP="00556A82">
            <w:pPr>
              <w:spacing w:before="60" w:after="60"/>
              <w:rPr>
                <w:b/>
                <w:sz w:val="24"/>
                <w:szCs w:val="24"/>
              </w:rPr>
            </w:pPr>
            <w:proofErr w:type="spellStart"/>
            <w:r>
              <w:rPr>
                <w:b/>
                <w:sz w:val="24"/>
                <w:szCs w:val="24"/>
              </w:rPr>
              <w:t>CareSearch</w:t>
            </w:r>
            <w:proofErr w:type="spellEnd"/>
          </w:p>
        </w:tc>
        <w:tc>
          <w:tcPr>
            <w:tcW w:w="7477" w:type="dxa"/>
          </w:tcPr>
          <w:p w:rsidR="00556A82" w:rsidRDefault="00C400D9" w:rsidP="009067E0">
            <w:pPr>
              <w:pStyle w:val="ListParagraph"/>
              <w:numPr>
                <w:ilvl w:val="0"/>
                <w:numId w:val="16"/>
              </w:numPr>
              <w:spacing w:before="60" w:after="60"/>
              <w:ind w:left="317" w:hanging="317"/>
              <w:rPr>
                <w:sz w:val="24"/>
                <w:szCs w:val="24"/>
              </w:rPr>
            </w:pPr>
            <w:r w:rsidRPr="003C1714">
              <w:rPr>
                <w:b/>
                <w:sz w:val="24"/>
                <w:szCs w:val="24"/>
              </w:rPr>
              <w:t>PEPA</w:t>
            </w:r>
            <w:r>
              <w:rPr>
                <w:sz w:val="24"/>
                <w:szCs w:val="24"/>
              </w:rPr>
              <w:t xml:space="preserve"> – </w:t>
            </w:r>
            <w:r w:rsidR="003C1714">
              <w:rPr>
                <w:sz w:val="24"/>
                <w:szCs w:val="24"/>
              </w:rPr>
              <w:t>identify and appraise carer and volunteer online modules for inclusion in the education hub (free to use).</w:t>
            </w:r>
          </w:p>
          <w:p w:rsidR="00C400D9" w:rsidRDefault="00C400D9" w:rsidP="009067E0">
            <w:pPr>
              <w:pStyle w:val="ListParagraph"/>
              <w:numPr>
                <w:ilvl w:val="0"/>
                <w:numId w:val="16"/>
              </w:numPr>
              <w:spacing w:before="60" w:after="60"/>
              <w:ind w:left="317" w:hanging="317"/>
              <w:rPr>
                <w:sz w:val="24"/>
                <w:szCs w:val="24"/>
              </w:rPr>
            </w:pPr>
            <w:proofErr w:type="spellStart"/>
            <w:r w:rsidRPr="003C1714">
              <w:rPr>
                <w:b/>
                <w:sz w:val="24"/>
                <w:szCs w:val="24"/>
              </w:rPr>
              <w:t>QuoCCA</w:t>
            </w:r>
            <w:proofErr w:type="spellEnd"/>
            <w:r>
              <w:rPr>
                <w:sz w:val="24"/>
                <w:szCs w:val="24"/>
              </w:rPr>
              <w:t xml:space="preserve"> – </w:t>
            </w:r>
            <w:r w:rsidR="003C1714">
              <w:rPr>
                <w:sz w:val="24"/>
                <w:szCs w:val="24"/>
              </w:rPr>
              <w:t xml:space="preserve">help to develop a </w:t>
            </w:r>
            <w:r>
              <w:rPr>
                <w:sz w:val="24"/>
                <w:szCs w:val="24"/>
              </w:rPr>
              <w:t>project website</w:t>
            </w:r>
            <w:r w:rsidR="003C1714">
              <w:rPr>
                <w:sz w:val="24"/>
                <w:szCs w:val="24"/>
              </w:rPr>
              <w:t>.</w:t>
            </w:r>
          </w:p>
          <w:p w:rsidR="00C400D9" w:rsidRDefault="00C400D9" w:rsidP="009067E0">
            <w:pPr>
              <w:pStyle w:val="ListParagraph"/>
              <w:numPr>
                <w:ilvl w:val="0"/>
                <w:numId w:val="16"/>
              </w:numPr>
              <w:spacing w:before="60" w:after="60"/>
              <w:ind w:left="317" w:hanging="317"/>
              <w:rPr>
                <w:sz w:val="24"/>
                <w:szCs w:val="24"/>
              </w:rPr>
            </w:pPr>
            <w:r w:rsidRPr="003C1714">
              <w:rPr>
                <w:b/>
                <w:sz w:val="24"/>
                <w:szCs w:val="24"/>
              </w:rPr>
              <w:t>P</w:t>
            </w:r>
            <w:r w:rsidR="003C1714">
              <w:rPr>
                <w:b/>
                <w:sz w:val="24"/>
                <w:szCs w:val="24"/>
              </w:rPr>
              <w:t>alliative Care Australia</w:t>
            </w:r>
            <w:r>
              <w:rPr>
                <w:sz w:val="24"/>
                <w:szCs w:val="24"/>
              </w:rPr>
              <w:t xml:space="preserve"> – </w:t>
            </w:r>
            <w:proofErr w:type="gramStart"/>
            <w:r w:rsidR="003C1714">
              <w:rPr>
                <w:sz w:val="24"/>
                <w:szCs w:val="24"/>
              </w:rPr>
              <w:t>develop</w:t>
            </w:r>
            <w:proofErr w:type="gramEnd"/>
            <w:r w:rsidR="003C1714">
              <w:rPr>
                <w:sz w:val="24"/>
                <w:szCs w:val="24"/>
              </w:rPr>
              <w:t xml:space="preserve"> an </w:t>
            </w:r>
            <w:r>
              <w:rPr>
                <w:sz w:val="24"/>
                <w:szCs w:val="24"/>
              </w:rPr>
              <w:t>eHealth literacy tool for use in</w:t>
            </w:r>
            <w:r w:rsidR="003C1714">
              <w:rPr>
                <w:sz w:val="24"/>
                <w:szCs w:val="24"/>
              </w:rPr>
              <w:t xml:space="preserve"> a</w:t>
            </w:r>
            <w:r>
              <w:rPr>
                <w:sz w:val="24"/>
                <w:szCs w:val="24"/>
              </w:rPr>
              <w:t xml:space="preserve"> community survey</w:t>
            </w:r>
            <w:r w:rsidR="00352146">
              <w:rPr>
                <w:sz w:val="24"/>
                <w:szCs w:val="24"/>
              </w:rPr>
              <w:t xml:space="preserve">; </w:t>
            </w:r>
            <w:r w:rsidR="00352146">
              <w:rPr>
                <w:sz w:val="24"/>
                <w:szCs w:val="24"/>
              </w:rPr>
              <w:t>work together on a form for projects to complete to enable program evaluation against common objectives.</w:t>
            </w:r>
          </w:p>
          <w:p w:rsidR="00C400D9" w:rsidRPr="008C3921" w:rsidRDefault="00C400D9" w:rsidP="009067E0">
            <w:pPr>
              <w:pStyle w:val="ListParagraph"/>
              <w:numPr>
                <w:ilvl w:val="0"/>
                <w:numId w:val="16"/>
              </w:numPr>
              <w:spacing w:before="60" w:after="60"/>
              <w:ind w:left="317" w:hanging="317"/>
              <w:rPr>
                <w:sz w:val="24"/>
                <w:szCs w:val="24"/>
              </w:rPr>
            </w:pPr>
            <w:r w:rsidRPr="003C1714">
              <w:rPr>
                <w:b/>
                <w:sz w:val="24"/>
                <w:szCs w:val="24"/>
              </w:rPr>
              <w:t>Carers Australia</w:t>
            </w:r>
            <w:r>
              <w:rPr>
                <w:sz w:val="24"/>
                <w:szCs w:val="24"/>
              </w:rPr>
              <w:t xml:space="preserve"> – </w:t>
            </w:r>
            <w:r w:rsidR="003C1714">
              <w:rPr>
                <w:sz w:val="24"/>
                <w:szCs w:val="24"/>
              </w:rPr>
              <w:t xml:space="preserve">develop a </w:t>
            </w:r>
            <w:r>
              <w:rPr>
                <w:sz w:val="24"/>
                <w:szCs w:val="24"/>
              </w:rPr>
              <w:t>blog series for National Carers Week</w:t>
            </w:r>
            <w:r w:rsidR="003C1714">
              <w:rPr>
                <w:sz w:val="24"/>
                <w:szCs w:val="24"/>
              </w:rPr>
              <w:t>.</w:t>
            </w:r>
          </w:p>
        </w:tc>
      </w:tr>
      <w:tr w:rsidR="00556A82" w:rsidTr="00A43CE7">
        <w:trPr>
          <w:trHeight w:val="2046"/>
        </w:trPr>
        <w:tc>
          <w:tcPr>
            <w:tcW w:w="2943" w:type="dxa"/>
          </w:tcPr>
          <w:p w:rsidR="00556A82" w:rsidRPr="008C3921" w:rsidRDefault="008C3921" w:rsidP="00556A82">
            <w:pPr>
              <w:spacing w:before="60" w:after="60"/>
              <w:rPr>
                <w:b/>
                <w:sz w:val="24"/>
                <w:szCs w:val="24"/>
              </w:rPr>
            </w:pPr>
            <w:proofErr w:type="spellStart"/>
            <w:r>
              <w:rPr>
                <w:b/>
                <w:sz w:val="24"/>
                <w:szCs w:val="24"/>
              </w:rPr>
              <w:t>QuoCCA</w:t>
            </w:r>
            <w:proofErr w:type="spellEnd"/>
          </w:p>
        </w:tc>
        <w:tc>
          <w:tcPr>
            <w:tcW w:w="7477" w:type="dxa"/>
          </w:tcPr>
          <w:p w:rsidR="003C1714" w:rsidRDefault="003C1714" w:rsidP="009067E0">
            <w:pPr>
              <w:pStyle w:val="ListParagraph"/>
              <w:numPr>
                <w:ilvl w:val="0"/>
                <w:numId w:val="16"/>
              </w:numPr>
              <w:spacing w:before="60" w:after="60"/>
              <w:ind w:left="317" w:hanging="317"/>
              <w:rPr>
                <w:sz w:val="24"/>
                <w:szCs w:val="24"/>
              </w:rPr>
            </w:pPr>
            <w:proofErr w:type="spellStart"/>
            <w:r>
              <w:rPr>
                <w:b/>
                <w:sz w:val="24"/>
                <w:szCs w:val="24"/>
              </w:rPr>
              <w:t>CareSearch</w:t>
            </w:r>
            <w:proofErr w:type="spellEnd"/>
            <w:r>
              <w:rPr>
                <w:sz w:val="24"/>
                <w:szCs w:val="24"/>
              </w:rPr>
              <w:t xml:space="preserve"> – help to develop a project website.</w:t>
            </w:r>
          </w:p>
          <w:p w:rsidR="003C1714" w:rsidRDefault="003C1714" w:rsidP="009067E0">
            <w:pPr>
              <w:pStyle w:val="ListParagraph"/>
              <w:numPr>
                <w:ilvl w:val="0"/>
                <w:numId w:val="16"/>
              </w:numPr>
              <w:spacing w:before="60" w:after="60"/>
              <w:ind w:left="317" w:hanging="317"/>
              <w:rPr>
                <w:sz w:val="24"/>
                <w:szCs w:val="24"/>
              </w:rPr>
            </w:pPr>
            <w:r>
              <w:rPr>
                <w:b/>
                <w:sz w:val="24"/>
                <w:szCs w:val="24"/>
              </w:rPr>
              <w:t>Other online training providers</w:t>
            </w:r>
            <w:r>
              <w:rPr>
                <w:sz w:val="24"/>
                <w:szCs w:val="24"/>
              </w:rPr>
              <w:t xml:space="preserve"> – develop a paediatric module to be delivered online and provide links to resources on the new project website.</w:t>
            </w:r>
          </w:p>
          <w:p w:rsidR="000E3099" w:rsidRDefault="003C1714" w:rsidP="009067E0">
            <w:pPr>
              <w:pStyle w:val="ListParagraph"/>
              <w:numPr>
                <w:ilvl w:val="0"/>
                <w:numId w:val="16"/>
              </w:numPr>
              <w:spacing w:before="60" w:after="60"/>
              <w:ind w:left="317" w:hanging="317"/>
              <w:rPr>
                <w:sz w:val="24"/>
                <w:szCs w:val="24"/>
              </w:rPr>
            </w:pPr>
            <w:proofErr w:type="spellStart"/>
            <w:proofErr w:type="gramStart"/>
            <w:r>
              <w:rPr>
                <w:b/>
                <w:sz w:val="24"/>
                <w:szCs w:val="24"/>
              </w:rPr>
              <w:t>integratedliving</w:t>
            </w:r>
            <w:proofErr w:type="spellEnd"/>
            <w:proofErr w:type="gramEnd"/>
            <w:r>
              <w:rPr>
                <w:b/>
                <w:sz w:val="24"/>
                <w:szCs w:val="24"/>
              </w:rPr>
              <w:t xml:space="preserve"> Australia</w:t>
            </w:r>
            <w:r w:rsidR="000E3099">
              <w:rPr>
                <w:sz w:val="24"/>
                <w:szCs w:val="24"/>
              </w:rPr>
              <w:t xml:space="preserve"> </w:t>
            </w:r>
            <w:r>
              <w:rPr>
                <w:sz w:val="24"/>
                <w:szCs w:val="24"/>
              </w:rPr>
              <w:t xml:space="preserve">– </w:t>
            </w:r>
            <w:r w:rsidR="007D4A91">
              <w:rPr>
                <w:sz w:val="24"/>
                <w:szCs w:val="24"/>
              </w:rPr>
              <w:t>host a joint pop up visit.</w:t>
            </w:r>
          </w:p>
          <w:p w:rsidR="007D4A91" w:rsidRPr="008C3921" w:rsidRDefault="007D4A91" w:rsidP="009067E0">
            <w:pPr>
              <w:pStyle w:val="ListParagraph"/>
              <w:numPr>
                <w:ilvl w:val="0"/>
                <w:numId w:val="16"/>
              </w:numPr>
              <w:spacing w:before="60" w:after="60"/>
              <w:ind w:left="317" w:hanging="317"/>
              <w:rPr>
                <w:sz w:val="24"/>
                <w:szCs w:val="24"/>
              </w:rPr>
            </w:pPr>
            <w:r>
              <w:rPr>
                <w:b/>
                <w:sz w:val="24"/>
                <w:szCs w:val="24"/>
              </w:rPr>
              <w:t xml:space="preserve">PCC4U </w:t>
            </w:r>
            <w:r>
              <w:rPr>
                <w:sz w:val="24"/>
                <w:szCs w:val="24"/>
              </w:rPr>
              <w:t>– further develop ways to use existing education resources and develop new resources; discuss PCC4U involvement for undergraduate medical students; contribute to mapping project.</w:t>
            </w:r>
          </w:p>
        </w:tc>
      </w:tr>
      <w:tr w:rsidR="00556A82" w:rsidTr="00A43CE7">
        <w:trPr>
          <w:trHeight w:val="994"/>
        </w:trPr>
        <w:tc>
          <w:tcPr>
            <w:tcW w:w="2943" w:type="dxa"/>
          </w:tcPr>
          <w:p w:rsidR="00556A82" w:rsidRPr="008C3921" w:rsidRDefault="000E3099" w:rsidP="00556A82">
            <w:pPr>
              <w:spacing w:before="60" w:after="60"/>
              <w:rPr>
                <w:b/>
                <w:sz w:val="24"/>
                <w:szCs w:val="24"/>
              </w:rPr>
            </w:pPr>
            <w:r>
              <w:rPr>
                <w:b/>
                <w:sz w:val="24"/>
                <w:szCs w:val="24"/>
              </w:rPr>
              <w:t>End of Life Essentials</w:t>
            </w:r>
          </w:p>
        </w:tc>
        <w:tc>
          <w:tcPr>
            <w:tcW w:w="7477" w:type="dxa"/>
          </w:tcPr>
          <w:p w:rsidR="00556A82" w:rsidRDefault="007D4A91" w:rsidP="009067E0">
            <w:pPr>
              <w:pStyle w:val="ListParagraph"/>
              <w:numPr>
                <w:ilvl w:val="0"/>
                <w:numId w:val="16"/>
              </w:numPr>
              <w:spacing w:before="60" w:after="60"/>
              <w:ind w:left="317" w:hanging="317"/>
              <w:rPr>
                <w:sz w:val="24"/>
                <w:szCs w:val="24"/>
              </w:rPr>
            </w:pPr>
            <w:r w:rsidRPr="007D4A91">
              <w:rPr>
                <w:b/>
                <w:sz w:val="24"/>
                <w:szCs w:val="24"/>
              </w:rPr>
              <w:t xml:space="preserve">QUT &amp; </w:t>
            </w:r>
            <w:r w:rsidR="000E3099" w:rsidRPr="007D4A91">
              <w:rPr>
                <w:b/>
                <w:sz w:val="24"/>
                <w:szCs w:val="24"/>
              </w:rPr>
              <w:t>Care Search</w:t>
            </w:r>
            <w:r w:rsidR="000E3099">
              <w:rPr>
                <w:sz w:val="24"/>
                <w:szCs w:val="24"/>
              </w:rPr>
              <w:t xml:space="preserve"> – include </w:t>
            </w:r>
            <w:r>
              <w:rPr>
                <w:sz w:val="24"/>
                <w:szCs w:val="24"/>
              </w:rPr>
              <w:t>modules in education hub.</w:t>
            </w:r>
          </w:p>
          <w:p w:rsidR="007D4A91" w:rsidRPr="008C3921" w:rsidRDefault="007D4A91" w:rsidP="009067E0">
            <w:pPr>
              <w:pStyle w:val="ListParagraph"/>
              <w:numPr>
                <w:ilvl w:val="0"/>
                <w:numId w:val="16"/>
              </w:numPr>
              <w:spacing w:before="60" w:after="60"/>
              <w:ind w:left="317" w:hanging="317"/>
              <w:rPr>
                <w:sz w:val="24"/>
                <w:szCs w:val="24"/>
              </w:rPr>
            </w:pPr>
            <w:proofErr w:type="spellStart"/>
            <w:proofErr w:type="gramStart"/>
            <w:r>
              <w:rPr>
                <w:b/>
                <w:sz w:val="24"/>
                <w:szCs w:val="24"/>
              </w:rPr>
              <w:t>integratedliving</w:t>
            </w:r>
            <w:proofErr w:type="spellEnd"/>
            <w:proofErr w:type="gramEnd"/>
            <w:r>
              <w:rPr>
                <w:b/>
                <w:sz w:val="24"/>
                <w:szCs w:val="24"/>
              </w:rPr>
              <w:t xml:space="preserve"> Australia</w:t>
            </w:r>
            <w:r>
              <w:rPr>
                <w:sz w:val="24"/>
                <w:szCs w:val="24"/>
              </w:rPr>
              <w:t xml:space="preserve"> – provide expertise</w:t>
            </w:r>
            <w:r>
              <w:rPr>
                <w:sz w:val="24"/>
                <w:szCs w:val="24"/>
              </w:rPr>
              <w:t xml:space="preserve"> around lessons learnt in delivering online training modules.</w:t>
            </w:r>
          </w:p>
        </w:tc>
      </w:tr>
      <w:tr w:rsidR="00556A82" w:rsidTr="00A43CE7">
        <w:trPr>
          <w:trHeight w:val="1605"/>
        </w:trPr>
        <w:tc>
          <w:tcPr>
            <w:tcW w:w="2943" w:type="dxa"/>
          </w:tcPr>
          <w:p w:rsidR="00556A82" w:rsidRPr="008C3921" w:rsidRDefault="007D4A91" w:rsidP="00556A82">
            <w:pPr>
              <w:spacing w:before="60" w:after="60"/>
              <w:rPr>
                <w:b/>
                <w:sz w:val="24"/>
                <w:szCs w:val="24"/>
              </w:rPr>
            </w:pPr>
            <w:proofErr w:type="spellStart"/>
            <w:r>
              <w:rPr>
                <w:b/>
                <w:sz w:val="24"/>
                <w:szCs w:val="24"/>
              </w:rPr>
              <w:t>i</w:t>
            </w:r>
            <w:r w:rsidR="008C3921">
              <w:rPr>
                <w:b/>
                <w:sz w:val="24"/>
                <w:szCs w:val="24"/>
              </w:rPr>
              <w:t>ntegratedliving</w:t>
            </w:r>
            <w:proofErr w:type="spellEnd"/>
            <w:r w:rsidR="008C3921">
              <w:rPr>
                <w:b/>
                <w:sz w:val="24"/>
                <w:szCs w:val="24"/>
              </w:rPr>
              <w:t xml:space="preserve"> Australia</w:t>
            </w:r>
          </w:p>
        </w:tc>
        <w:tc>
          <w:tcPr>
            <w:tcW w:w="7477" w:type="dxa"/>
          </w:tcPr>
          <w:p w:rsidR="000E3099" w:rsidRDefault="000E3099" w:rsidP="009067E0">
            <w:pPr>
              <w:pStyle w:val="ListParagraph"/>
              <w:numPr>
                <w:ilvl w:val="0"/>
                <w:numId w:val="16"/>
              </w:numPr>
              <w:spacing w:before="60" w:after="60"/>
              <w:ind w:left="317" w:hanging="317"/>
              <w:rPr>
                <w:sz w:val="24"/>
                <w:szCs w:val="24"/>
              </w:rPr>
            </w:pPr>
            <w:proofErr w:type="spellStart"/>
            <w:r w:rsidRPr="007D4A91">
              <w:rPr>
                <w:b/>
                <w:sz w:val="24"/>
                <w:szCs w:val="24"/>
              </w:rPr>
              <w:t>QuoCCA</w:t>
            </w:r>
            <w:proofErr w:type="spellEnd"/>
            <w:r>
              <w:rPr>
                <w:sz w:val="24"/>
                <w:szCs w:val="24"/>
              </w:rPr>
              <w:t xml:space="preserve"> – </w:t>
            </w:r>
            <w:r w:rsidR="007D4A91">
              <w:rPr>
                <w:sz w:val="24"/>
                <w:szCs w:val="24"/>
              </w:rPr>
              <w:t>host a joint pop up visit.</w:t>
            </w:r>
          </w:p>
          <w:p w:rsidR="00556A82" w:rsidRDefault="000E3099" w:rsidP="009067E0">
            <w:pPr>
              <w:pStyle w:val="ListParagraph"/>
              <w:numPr>
                <w:ilvl w:val="0"/>
                <w:numId w:val="16"/>
              </w:numPr>
              <w:spacing w:before="60" w:after="60"/>
              <w:ind w:left="317" w:hanging="317"/>
              <w:rPr>
                <w:sz w:val="24"/>
                <w:szCs w:val="24"/>
              </w:rPr>
            </w:pPr>
            <w:r w:rsidRPr="007D4A91">
              <w:rPr>
                <w:b/>
                <w:sz w:val="24"/>
                <w:szCs w:val="24"/>
              </w:rPr>
              <w:t>PEPA</w:t>
            </w:r>
            <w:r w:rsidR="007D4A91">
              <w:rPr>
                <w:b/>
                <w:sz w:val="24"/>
                <w:szCs w:val="24"/>
              </w:rPr>
              <w:t>/PCC4U</w:t>
            </w:r>
            <w:r>
              <w:rPr>
                <w:sz w:val="24"/>
                <w:szCs w:val="24"/>
              </w:rPr>
              <w:t xml:space="preserve"> –</w:t>
            </w:r>
            <w:r w:rsidR="007D4A91">
              <w:rPr>
                <w:sz w:val="24"/>
                <w:szCs w:val="24"/>
              </w:rPr>
              <w:t xml:space="preserve"> </w:t>
            </w:r>
            <w:r>
              <w:rPr>
                <w:sz w:val="24"/>
                <w:szCs w:val="24"/>
              </w:rPr>
              <w:t>cross promotion</w:t>
            </w:r>
            <w:r w:rsidR="007D4A91">
              <w:rPr>
                <w:sz w:val="24"/>
                <w:szCs w:val="24"/>
              </w:rPr>
              <w:t>; contribute to mapping project.</w:t>
            </w:r>
          </w:p>
          <w:p w:rsidR="000E3099" w:rsidRPr="007D4A91" w:rsidRDefault="007D4A91" w:rsidP="009067E0">
            <w:pPr>
              <w:pStyle w:val="ListParagraph"/>
              <w:numPr>
                <w:ilvl w:val="0"/>
                <w:numId w:val="16"/>
              </w:numPr>
              <w:spacing w:before="60" w:after="60"/>
              <w:ind w:left="317" w:hanging="317"/>
              <w:rPr>
                <w:b/>
                <w:sz w:val="24"/>
                <w:szCs w:val="24"/>
              </w:rPr>
            </w:pPr>
            <w:r>
              <w:rPr>
                <w:b/>
                <w:sz w:val="24"/>
                <w:szCs w:val="24"/>
              </w:rPr>
              <w:t>End of Life Care Essentials</w:t>
            </w:r>
            <w:r>
              <w:rPr>
                <w:sz w:val="24"/>
                <w:szCs w:val="24"/>
              </w:rPr>
              <w:t xml:space="preserve"> – liaise around lessons learnt in delivering online training modules.</w:t>
            </w:r>
          </w:p>
        </w:tc>
      </w:tr>
      <w:tr w:rsidR="008C3921" w:rsidTr="00A43CE7">
        <w:trPr>
          <w:trHeight w:val="1284"/>
        </w:trPr>
        <w:tc>
          <w:tcPr>
            <w:tcW w:w="2943" w:type="dxa"/>
          </w:tcPr>
          <w:p w:rsidR="008C3921" w:rsidRDefault="008C3921" w:rsidP="00556A82">
            <w:pPr>
              <w:spacing w:before="60" w:after="60"/>
              <w:rPr>
                <w:b/>
                <w:sz w:val="24"/>
                <w:szCs w:val="24"/>
              </w:rPr>
            </w:pPr>
            <w:r>
              <w:rPr>
                <w:b/>
                <w:sz w:val="24"/>
                <w:szCs w:val="24"/>
              </w:rPr>
              <w:t xml:space="preserve">Charles Sturt University / </w:t>
            </w:r>
            <w:r>
              <w:rPr>
                <w:b/>
                <w:sz w:val="24"/>
                <w:szCs w:val="24"/>
              </w:rPr>
              <w:t>Amaranth Foundation</w:t>
            </w:r>
          </w:p>
        </w:tc>
        <w:tc>
          <w:tcPr>
            <w:tcW w:w="7477" w:type="dxa"/>
          </w:tcPr>
          <w:p w:rsidR="000E3099" w:rsidRDefault="007D4A91" w:rsidP="009067E0">
            <w:pPr>
              <w:pStyle w:val="ListParagraph"/>
              <w:numPr>
                <w:ilvl w:val="0"/>
                <w:numId w:val="16"/>
              </w:numPr>
              <w:spacing w:before="60" w:after="60"/>
              <w:ind w:left="317" w:hanging="317"/>
              <w:rPr>
                <w:sz w:val="24"/>
                <w:szCs w:val="24"/>
              </w:rPr>
            </w:pPr>
            <w:proofErr w:type="spellStart"/>
            <w:r>
              <w:rPr>
                <w:b/>
                <w:sz w:val="24"/>
                <w:szCs w:val="24"/>
              </w:rPr>
              <w:t>HammondCare</w:t>
            </w:r>
            <w:proofErr w:type="spellEnd"/>
            <w:r>
              <w:rPr>
                <w:sz w:val="24"/>
                <w:szCs w:val="24"/>
              </w:rPr>
              <w:t xml:space="preserve"> – collaborate around education and referral pathways for GP practice nurses.</w:t>
            </w:r>
          </w:p>
          <w:p w:rsidR="007D4A91" w:rsidRPr="007D4A91" w:rsidRDefault="007D4A91" w:rsidP="009067E0">
            <w:pPr>
              <w:pStyle w:val="ListParagraph"/>
              <w:numPr>
                <w:ilvl w:val="0"/>
                <w:numId w:val="16"/>
              </w:numPr>
              <w:spacing w:before="60" w:after="60"/>
              <w:ind w:left="317" w:hanging="317"/>
              <w:rPr>
                <w:sz w:val="24"/>
                <w:szCs w:val="24"/>
              </w:rPr>
            </w:pPr>
            <w:r>
              <w:rPr>
                <w:b/>
                <w:sz w:val="24"/>
                <w:szCs w:val="24"/>
              </w:rPr>
              <w:t>PEPA/PCC4U</w:t>
            </w:r>
            <w:r>
              <w:rPr>
                <w:sz w:val="24"/>
                <w:szCs w:val="24"/>
              </w:rPr>
              <w:t xml:space="preserve"> – discuss graduate practice and VET standards; contribute to mapping project.</w:t>
            </w:r>
          </w:p>
        </w:tc>
      </w:tr>
      <w:tr w:rsidR="008C3921" w:rsidTr="00A43CE7">
        <w:trPr>
          <w:trHeight w:val="2046"/>
        </w:trPr>
        <w:tc>
          <w:tcPr>
            <w:tcW w:w="2943" w:type="dxa"/>
          </w:tcPr>
          <w:p w:rsidR="008C3921" w:rsidRDefault="008C3921" w:rsidP="00556A82">
            <w:pPr>
              <w:spacing w:before="60" w:after="60"/>
              <w:rPr>
                <w:b/>
                <w:sz w:val="24"/>
                <w:szCs w:val="24"/>
              </w:rPr>
            </w:pPr>
            <w:proofErr w:type="spellStart"/>
            <w:r>
              <w:rPr>
                <w:b/>
                <w:sz w:val="24"/>
                <w:szCs w:val="24"/>
              </w:rPr>
              <w:lastRenderedPageBreak/>
              <w:t>PaCCSC</w:t>
            </w:r>
            <w:proofErr w:type="spellEnd"/>
          </w:p>
        </w:tc>
        <w:tc>
          <w:tcPr>
            <w:tcW w:w="7477" w:type="dxa"/>
          </w:tcPr>
          <w:p w:rsidR="000E3099" w:rsidRDefault="007D4A91" w:rsidP="009067E0">
            <w:pPr>
              <w:pStyle w:val="ListParagraph"/>
              <w:numPr>
                <w:ilvl w:val="0"/>
                <w:numId w:val="16"/>
              </w:numPr>
              <w:spacing w:before="60" w:after="60"/>
              <w:ind w:left="317" w:hanging="317"/>
              <w:rPr>
                <w:sz w:val="24"/>
                <w:szCs w:val="24"/>
              </w:rPr>
            </w:pPr>
            <w:r>
              <w:rPr>
                <w:b/>
                <w:sz w:val="24"/>
                <w:szCs w:val="24"/>
              </w:rPr>
              <w:t>All services</w:t>
            </w:r>
            <w:r>
              <w:rPr>
                <w:sz w:val="24"/>
                <w:szCs w:val="24"/>
              </w:rPr>
              <w:t xml:space="preserve"> – make available a list of all clinical assessment tools (both patient and caregiver) used across PACCSC clinical studies portfolio, along with website, owner and licence details, and where available, information and user training notes.</w:t>
            </w:r>
          </w:p>
          <w:p w:rsidR="007D4A91" w:rsidRDefault="007D4A91" w:rsidP="009067E0">
            <w:pPr>
              <w:pStyle w:val="ListParagraph"/>
              <w:numPr>
                <w:ilvl w:val="0"/>
                <w:numId w:val="16"/>
              </w:numPr>
              <w:spacing w:before="60" w:after="60"/>
              <w:ind w:left="317" w:hanging="317"/>
              <w:rPr>
                <w:sz w:val="24"/>
                <w:szCs w:val="24"/>
              </w:rPr>
            </w:pPr>
            <w:r>
              <w:rPr>
                <w:b/>
                <w:sz w:val="24"/>
                <w:szCs w:val="24"/>
              </w:rPr>
              <w:t>PCOC</w:t>
            </w:r>
            <w:r>
              <w:rPr>
                <w:sz w:val="24"/>
                <w:szCs w:val="24"/>
              </w:rPr>
              <w:t xml:space="preserve"> – Cross map the participating sites/services in both programs to evaluate if there has been any change </w:t>
            </w:r>
            <w:r w:rsidR="00352146">
              <w:rPr>
                <w:sz w:val="24"/>
                <w:szCs w:val="24"/>
              </w:rPr>
              <w:t xml:space="preserve">in patient outcomes resulting from their respective involvement in data collection/clinical research programs; harmonise </w:t>
            </w:r>
            <w:proofErr w:type="spellStart"/>
            <w:r w:rsidR="00352146">
              <w:rPr>
                <w:sz w:val="24"/>
                <w:szCs w:val="24"/>
              </w:rPr>
              <w:t>PaCCSC</w:t>
            </w:r>
            <w:proofErr w:type="spellEnd"/>
            <w:r w:rsidR="00352146">
              <w:rPr>
                <w:sz w:val="24"/>
                <w:szCs w:val="24"/>
              </w:rPr>
              <w:t xml:space="preserve"> Phase IV studies data collection (Case Report Forms) to implement the PCOC collected data points where feasible.</w:t>
            </w:r>
          </w:p>
          <w:p w:rsidR="00352146" w:rsidRPr="008C3921" w:rsidRDefault="00352146" w:rsidP="009067E0">
            <w:pPr>
              <w:pStyle w:val="ListParagraph"/>
              <w:numPr>
                <w:ilvl w:val="0"/>
                <w:numId w:val="16"/>
              </w:numPr>
              <w:spacing w:before="60" w:after="60"/>
              <w:ind w:left="317" w:hanging="317"/>
              <w:rPr>
                <w:sz w:val="24"/>
                <w:szCs w:val="24"/>
              </w:rPr>
            </w:pPr>
            <w:r>
              <w:rPr>
                <w:b/>
                <w:sz w:val="24"/>
                <w:szCs w:val="24"/>
              </w:rPr>
              <w:t xml:space="preserve">Palliative Care Australia </w:t>
            </w:r>
            <w:r>
              <w:rPr>
                <w:sz w:val="24"/>
                <w:szCs w:val="24"/>
              </w:rPr>
              <w:t xml:space="preserve">– explore possibilities of cross mapping participating sites/services in </w:t>
            </w:r>
            <w:proofErr w:type="spellStart"/>
            <w:r>
              <w:rPr>
                <w:sz w:val="24"/>
                <w:szCs w:val="24"/>
              </w:rPr>
              <w:t>PaCCSC</w:t>
            </w:r>
            <w:proofErr w:type="spellEnd"/>
            <w:r>
              <w:rPr>
                <w:sz w:val="24"/>
                <w:szCs w:val="24"/>
              </w:rPr>
              <w:t xml:space="preserve"> and NSAP to evaluate if there has been any change in patient outcomes resulting from their involvement in NSAP.</w:t>
            </w:r>
          </w:p>
        </w:tc>
      </w:tr>
      <w:tr w:rsidR="008C3921" w:rsidTr="00A43CE7">
        <w:trPr>
          <w:trHeight w:val="2046"/>
        </w:trPr>
        <w:tc>
          <w:tcPr>
            <w:tcW w:w="2943" w:type="dxa"/>
          </w:tcPr>
          <w:p w:rsidR="008C3921" w:rsidRDefault="008C3921" w:rsidP="00556A82">
            <w:pPr>
              <w:spacing w:before="60" w:after="60"/>
              <w:rPr>
                <w:b/>
                <w:sz w:val="24"/>
                <w:szCs w:val="24"/>
              </w:rPr>
            </w:pPr>
            <w:r>
              <w:rPr>
                <w:b/>
                <w:sz w:val="24"/>
                <w:szCs w:val="24"/>
              </w:rPr>
              <w:t>Palliative Care Australia</w:t>
            </w:r>
          </w:p>
        </w:tc>
        <w:tc>
          <w:tcPr>
            <w:tcW w:w="7477" w:type="dxa"/>
          </w:tcPr>
          <w:p w:rsidR="00352146" w:rsidRDefault="00352146" w:rsidP="009067E0">
            <w:pPr>
              <w:pStyle w:val="ListParagraph"/>
              <w:numPr>
                <w:ilvl w:val="0"/>
                <w:numId w:val="16"/>
              </w:numPr>
              <w:spacing w:before="60" w:after="60"/>
              <w:ind w:left="317" w:hanging="317"/>
              <w:rPr>
                <w:sz w:val="24"/>
                <w:szCs w:val="24"/>
              </w:rPr>
            </w:pPr>
            <w:proofErr w:type="spellStart"/>
            <w:r w:rsidRPr="00352146">
              <w:rPr>
                <w:b/>
                <w:sz w:val="24"/>
                <w:szCs w:val="24"/>
              </w:rPr>
              <w:t>CareSearch</w:t>
            </w:r>
            <w:proofErr w:type="spellEnd"/>
            <w:r>
              <w:rPr>
                <w:sz w:val="24"/>
                <w:szCs w:val="24"/>
              </w:rPr>
              <w:t xml:space="preserve"> – Explore inclusion of eHealth literacy questions in a community survey; work together on a form for </w:t>
            </w:r>
            <w:r w:rsidR="009067E0">
              <w:rPr>
                <w:sz w:val="24"/>
                <w:szCs w:val="24"/>
              </w:rPr>
              <w:t>projects to complete to enable</w:t>
            </w:r>
            <w:r>
              <w:rPr>
                <w:sz w:val="24"/>
                <w:szCs w:val="24"/>
              </w:rPr>
              <w:t xml:space="preserve"> evaluation against common objectives.</w:t>
            </w:r>
          </w:p>
          <w:p w:rsidR="0027057B" w:rsidRDefault="00352146" w:rsidP="009067E0">
            <w:pPr>
              <w:pStyle w:val="ListParagraph"/>
              <w:numPr>
                <w:ilvl w:val="0"/>
                <w:numId w:val="16"/>
              </w:numPr>
              <w:spacing w:before="60" w:after="60"/>
              <w:ind w:left="317" w:hanging="317"/>
              <w:rPr>
                <w:sz w:val="24"/>
                <w:szCs w:val="24"/>
              </w:rPr>
            </w:pPr>
            <w:proofErr w:type="spellStart"/>
            <w:r w:rsidRPr="00352146">
              <w:rPr>
                <w:b/>
                <w:sz w:val="24"/>
                <w:szCs w:val="24"/>
              </w:rPr>
              <w:t>PaCCSC</w:t>
            </w:r>
            <w:proofErr w:type="spellEnd"/>
            <w:r w:rsidRPr="00352146">
              <w:rPr>
                <w:b/>
                <w:sz w:val="24"/>
                <w:szCs w:val="24"/>
              </w:rPr>
              <w:t xml:space="preserve"> </w:t>
            </w:r>
            <w:r>
              <w:rPr>
                <w:sz w:val="24"/>
                <w:szCs w:val="24"/>
              </w:rPr>
              <w:t xml:space="preserve">– </w:t>
            </w:r>
            <w:r>
              <w:rPr>
                <w:sz w:val="24"/>
                <w:szCs w:val="24"/>
              </w:rPr>
              <w:t>explore possibilities of cross mapping participating si</w:t>
            </w:r>
            <w:r>
              <w:rPr>
                <w:sz w:val="24"/>
                <w:szCs w:val="24"/>
              </w:rPr>
              <w:t xml:space="preserve">tes/services in </w:t>
            </w:r>
            <w:proofErr w:type="spellStart"/>
            <w:r>
              <w:rPr>
                <w:sz w:val="24"/>
                <w:szCs w:val="24"/>
              </w:rPr>
              <w:t>PaCCSC</w:t>
            </w:r>
            <w:proofErr w:type="spellEnd"/>
            <w:r>
              <w:rPr>
                <w:sz w:val="24"/>
                <w:szCs w:val="24"/>
              </w:rPr>
              <w:t xml:space="preserve"> and NSAP</w:t>
            </w:r>
            <w:r>
              <w:rPr>
                <w:sz w:val="24"/>
                <w:szCs w:val="24"/>
              </w:rPr>
              <w:t xml:space="preserve"> to evaluate if there has been any change in patient outcomes resulting from their involvement in NSAP.</w:t>
            </w:r>
          </w:p>
          <w:p w:rsidR="00352146" w:rsidRPr="000E3099" w:rsidRDefault="00352146" w:rsidP="009067E0">
            <w:pPr>
              <w:pStyle w:val="ListParagraph"/>
              <w:numPr>
                <w:ilvl w:val="0"/>
                <w:numId w:val="16"/>
              </w:numPr>
              <w:spacing w:before="60" w:after="60"/>
              <w:ind w:left="317" w:hanging="317"/>
              <w:rPr>
                <w:sz w:val="24"/>
                <w:szCs w:val="24"/>
              </w:rPr>
            </w:pPr>
            <w:r>
              <w:rPr>
                <w:b/>
                <w:sz w:val="24"/>
                <w:szCs w:val="24"/>
              </w:rPr>
              <w:t>AIHW</w:t>
            </w:r>
            <w:r>
              <w:rPr>
                <w:sz w:val="24"/>
                <w:szCs w:val="24"/>
              </w:rPr>
              <w:t xml:space="preserve"> – identify gaps in data items in the palliative care space and analyse if they can be collected; consider Version 2 NSQHS actions and see if data items could be collected across jurisdictions (i.e. recognising people approaching end of life). </w:t>
            </w:r>
          </w:p>
        </w:tc>
      </w:tr>
      <w:tr w:rsidR="008C3921" w:rsidTr="00A43CE7">
        <w:trPr>
          <w:trHeight w:val="993"/>
        </w:trPr>
        <w:tc>
          <w:tcPr>
            <w:tcW w:w="2943" w:type="dxa"/>
          </w:tcPr>
          <w:p w:rsidR="008C3921" w:rsidRDefault="008C3921" w:rsidP="00556A82">
            <w:pPr>
              <w:spacing w:before="60" w:after="60"/>
              <w:rPr>
                <w:b/>
                <w:sz w:val="24"/>
                <w:szCs w:val="24"/>
              </w:rPr>
            </w:pPr>
            <w:r>
              <w:rPr>
                <w:b/>
                <w:sz w:val="24"/>
                <w:szCs w:val="24"/>
              </w:rPr>
              <w:t>PCOC</w:t>
            </w:r>
          </w:p>
        </w:tc>
        <w:tc>
          <w:tcPr>
            <w:tcW w:w="7477" w:type="dxa"/>
          </w:tcPr>
          <w:p w:rsidR="00352146" w:rsidRDefault="00352146" w:rsidP="009067E0">
            <w:pPr>
              <w:pStyle w:val="ListParagraph"/>
              <w:numPr>
                <w:ilvl w:val="0"/>
                <w:numId w:val="16"/>
              </w:numPr>
              <w:spacing w:before="60" w:after="60"/>
              <w:ind w:left="317" w:hanging="317"/>
              <w:rPr>
                <w:sz w:val="24"/>
                <w:szCs w:val="24"/>
              </w:rPr>
            </w:pPr>
            <w:r>
              <w:rPr>
                <w:b/>
                <w:sz w:val="24"/>
                <w:szCs w:val="24"/>
              </w:rPr>
              <w:t>PCOC</w:t>
            </w:r>
            <w:r>
              <w:rPr>
                <w:sz w:val="24"/>
                <w:szCs w:val="24"/>
              </w:rPr>
              <w:t xml:space="preserve"> –</w:t>
            </w:r>
            <w:r w:rsidR="000930DE">
              <w:rPr>
                <w:sz w:val="24"/>
                <w:szCs w:val="24"/>
              </w:rPr>
              <w:t xml:space="preserve"> c</w:t>
            </w:r>
            <w:r>
              <w:rPr>
                <w:sz w:val="24"/>
                <w:szCs w:val="24"/>
              </w:rPr>
              <w:t xml:space="preserve">ross map the participating sites/services in both programs to evaluate if there has been any change in patient outcomes resulting from their respective involvement in data collection/clinical research programs; harmonise </w:t>
            </w:r>
            <w:proofErr w:type="spellStart"/>
            <w:r>
              <w:rPr>
                <w:sz w:val="24"/>
                <w:szCs w:val="24"/>
              </w:rPr>
              <w:t>PaCCSC</w:t>
            </w:r>
            <w:proofErr w:type="spellEnd"/>
            <w:r>
              <w:rPr>
                <w:sz w:val="24"/>
                <w:szCs w:val="24"/>
              </w:rPr>
              <w:t xml:space="preserve"> Phase IV studies data collection (Case Report Forms) to implement the PCOC collected data points where feasible</w:t>
            </w:r>
            <w:r>
              <w:rPr>
                <w:sz w:val="24"/>
                <w:szCs w:val="24"/>
              </w:rPr>
              <w:t>.</w:t>
            </w:r>
          </w:p>
          <w:p w:rsidR="00352146" w:rsidRPr="008C3921" w:rsidRDefault="00352146" w:rsidP="009067E0">
            <w:pPr>
              <w:pStyle w:val="ListParagraph"/>
              <w:numPr>
                <w:ilvl w:val="0"/>
                <w:numId w:val="16"/>
              </w:numPr>
              <w:spacing w:before="60" w:after="60"/>
              <w:ind w:left="317" w:hanging="317"/>
              <w:rPr>
                <w:sz w:val="24"/>
                <w:szCs w:val="24"/>
              </w:rPr>
            </w:pPr>
            <w:proofErr w:type="spellStart"/>
            <w:r>
              <w:rPr>
                <w:b/>
                <w:sz w:val="24"/>
                <w:szCs w:val="24"/>
              </w:rPr>
              <w:t>HammondCare</w:t>
            </w:r>
            <w:proofErr w:type="spellEnd"/>
            <w:r>
              <w:rPr>
                <w:sz w:val="24"/>
                <w:szCs w:val="24"/>
              </w:rPr>
              <w:t xml:space="preserve"> –</w:t>
            </w:r>
            <w:r w:rsidR="00A43CE7">
              <w:rPr>
                <w:sz w:val="24"/>
                <w:szCs w:val="24"/>
              </w:rPr>
              <w:t xml:space="preserve"> l</w:t>
            </w:r>
            <w:r>
              <w:rPr>
                <w:sz w:val="24"/>
                <w:szCs w:val="24"/>
              </w:rPr>
              <w:t>iaise to share and discuss clinical assessment tools and surveys for patients and carers.</w:t>
            </w:r>
          </w:p>
        </w:tc>
      </w:tr>
      <w:tr w:rsidR="00352146" w:rsidTr="00A43CE7">
        <w:trPr>
          <w:trHeight w:val="745"/>
        </w:trPr>
        <w:tc>
          <w:tcPr>
            <w:tcW w:w="2943" w:type="dxa"/>
          </w:tcPr>
          <w:p w:rsidR="00352146" w:rsidRDefault="00352146" w:rsidP="001E53D3">
            <w:pPr>
              <w:spacing w:before="60" w:after="60"/>
              <w:rPr>
                <w:b/>
                <w:sz w:val="24"/>
                <w:szCs w:val="24"/>
              </w:rPr>
            </w:pPr>
            <w:r>
              <w:rPr>
                <w:b/>
                <w:sz w:val="24"/>
                <w:szCs w:val="24"/>
              </w:rPr>
              <w:t>Austin Health</w:t>
            </w:r>
          </w:p>
        </w:tc>
        <w:tc>
          <w:tcPr>
            <w:tcW w:w="7477" w:type="dxa"/>
          </w:tcPr>
          <w:p w:rsidR="00352146" w:rsidRDefault="009067E0" w:rsidP="009067E0">
            <w:pPr>
              <w:pStyle w:val="ListParagraph"/>
              <w:numPr>
                <w:ilvl w:val="0"/>
                <w:numId w:val="16"/>
              </w:numPr>
              <w:spacing w:before="60" w:after="60"/>
              <w:ind w:left="317" w:hanging="317"/>
              <w:rPr>
                <w:sz w:val="24"/>
                <w:szCs w:val="24"/>
              </w:rPr>
            </w:pPr>
            <w:r>
              <w:rPr>
                <w:b/>
                <w:sz w:val="24"/>
                <w:szCs w:val="24"/>
              </w:rPr>
              <w:t>Cabrini</w:t>
            </w:r>
            <w:r w:rsidRPr="003C1714">
              <w:rPr>
                <w:b/>
                <w:sz w:val="24"/>
                <w:szCs w:val="24"/>
              </w:rPr>
              <w:t xml:space="preserve"> Health</w:t>
            </w:r>
            <w:r>
              <w:rPr>
                <w:sz w:val="24"/>
                <w:szCs w:val="24"/>
              </w:rPr>
              <w:t xml:space="preserve"> – cross promotion and sharing of expertise and resource development.</w:t>
            </w:r>
          </w:p>
          <w:p w:rsidR="009067E0" w:rsidRDefault="009067E0" w:rsidP="009067E0">
            <w:pPr>
              <w:pStyle w:val="ListParagraph"/>
              <w:numPr>
                <w:ilvl w:val="0"/>
                <w:numId w:val="16"/>
              </w:numPr>
              <w:spacing w:before="60" w:after="60"/>
              <w:ind w:left="317" w:hanging="317"/>
              <w:rPr>
                <w:sz w:val="24"/>
                <w:szCs w:val="24"/>
              </w:rPr>
            </w:pPr>
            <w:r>
              <w:rPr>
                <w:b/>
                <w:sz w:val="24"/>
                <w:szCs w:val="24"/>
              </w:rPr>
              <w:t>PCC4U</w:t>
            </w:r>
            <w:r>
              <w:rPr>
                <w:sz w:val="24"/>
                <w:szCs w:val="24"/>
              </w:rPr>
              <w:t xml:space="preserve"> – cross promotion; explore a potential specialist module in advance care planning for undergraduates.</w:t>
            </w:r>
          </w:p>
          <w:p w:rsidR="009067E0" w:rsidRDefault="009067E0" w:rsidP="009067E0">
            <w:pPr>
              <w:pStyle w:val="ListParagraph"/>
              <w:numPr>
                <w:ilvl w:val="0"/>
                <w:numId w:val="16"/>
              </w:numPr>
              <w:spacing w:before="60" w:after="60"/>
              <w:ind w:left="317" w:hanging="317"/>
              <w:rPr>
                <w:sz w:val="24"/>
                <w:szCs w:val="24"/>
              </w:rPr>
            </w:pPr>
            <w:proofErr w:type="spellStart"/>
            <w:r w:rsidRPr="009067E0">
              <w:rPr>
                <w:b/>
                <w:sz w:val="24"/>
                <w:szCs w:val="24"/>
              </w:rPr>
              <w:t>HammondCare</w:t>
            </w:r>
            <w:proofErr w:type="spellEnd"/>
            <w:r>
              <w:rPr>
                <w:sz w:val="24"/>
                <w:szCs w:val="24"/>
              </w:rPr>
              <w:t xml:space="preserve"> – </w:t>
            </w:r>
            <w:r w:rsidR="000930DE">
              <w:rPr>
                <w:sz w:val="24"/>
                <w:szCs w:val="24"/>
              </w:rPr>
              <w:t>continue existing collaboration.</w:t>
            </w:r>
          </w:p>
          <w:p w:rsidR="009067E0" w:rsidRPr="009067E0" w:rsidRDefault="009067E0" w:rsidP="009067E0">
            <w:pPr>
              <w:pStyle w:val="ListParagraph"/>
              <w:numPr>
                <w:ilvl w:val="0"/>
                <w:numId w:val="16"/>
              </w:numPr>
              <w:spacing w:before="60" w:after="60"/>
              <w:ind w:left="317" w:hanging="317"/>
              <w:rPr>
                <w:sz w:val="24"/>
                <w:szCs w:val="24"/>
              </w:rPr>
            </w:pPr>
            <w:r w:rsidRPr="009067E0">
              <w:rPr>
                <w:b/>
                <w:sz w:val="24"/>
                <w:szCs w:val="24"/>
              </w:rPr>
              <w:t>Other education providers</w:t>
            </w:r>
            <w:r>
              <w:rPr>
                <w:sz w:val="24"/>
                <w:szCs w:val="24"/>
              </w:rPr>
              <w:t xml:space="preserve"> – cross promotion of links on the updated website.</w:t>
            </w:r>
          </w:p>
        </w:tc>
      </w:tr>
      <w:tr w:rsidR="009067E0" w:rsidTr="00A43CE7">
        <w:trPr>
          <w:trHeight w:val="745"/>
        </w:trPr>
        <w:tc>
          <w:tcPr>
            <w:tcW w:w="2943" w:type="dxa"/>
          </w:tcPr>
          <w:p w:rsidR="009067E0" w:rsidRDefault="009067E0" w:rsidP="001E53D3">
            <w:pPr>
              <w:spacing w:before="60" w:after="60"/>
              <w:rPr>
                <w:b/>
                <w:sz w:val="24"/>
                <w:szCs w:val="24"/>
              </w:rPr>
            </w:pPr>
            <w:r>
              <w:rPr>
                <w:b/>
                <w:sz w:val="24"/>
                <w:szCs w:val="24"/>
              </w:rPr>
              <w:t>AIHW</w:t>
            </w:r>
          </w:p>
        </w:tc>
        <w:tc>
          <w:tcPr>
            <w:tcW w:w="7477" w:type="dxa"/>
          </w:tcPr>
          <w:p w:rsidR="009067E0" w:rsidRPr="000E3099" w:rsidRDefault="009067E0" w:rsidP="001E53D3">
            <w:pPr>
              <w:pStyle w:val="ListParagraph"/>
              <w:numPr>
                <w:ilvl w:val="0"/>
                <w:numId w:val="16"/>
              </w:numPr>
              <w:spacing w:before="60" w:after="60"/>
              <w:ind w:left="317" w:hanging="317"/>
              <w:rPr>
                <w:sz w:val="24"/>
                <w:szCs w:val="24"/>
              </w:rPr>
            </w:pPr>
            <w:r w:rsidRPr="009067E0">
              <w:rPr>
                <w:b/>
                <w:sz w:val="24"/>
                <w:szCs w:val="24"/>
              </w:rPr>
              <w:t>Palliative Care Australia</w:t>
            </w:r>
            <w:r>
              <w:rPr>
                <w:sz w:val="24"/>
                <w:szCs w:val="24"/>
              </w:rPr>
              <w:t xml:space="preserve"> – </w:t>
            </w:r>
            <w:r>
              <w:rPr>
                <w:sz w:val="24"/>
                <w:szCs w:val="24"/>
              </w:rPr>
              <w:t>identify gaps in data items in the palliative care space and analyse if they can be collected; consider Version 2 NSQHS actions and see if data items could be collected across jurisdictions (i.e. recognising people approaching end of life).</w:t>
            </w:r>
          </w:p>
        </w:tc>
      </w:tr>
      <w:tr w:rsidR="008C3921" w:rsidTr="00A43CE7">
        <w:trPr>
          <w:trHeight w:val="745"/>
        </w:trPr>
        <w:tc>
          <w:tcPr>
            <w:tcW w:w="2943" w:type="dxa"/>
          </w:tcPr>
          <w:p w:rsidR="008C3921" w:rsidRDefault="008C3921" w:rsidP="00556A82">
            <w:pPr>
              <w:spacing w:before="60" w:after="60"/>
              <w:rPr>
                <w:b/>
                <w:sz w:val="24"/>
                <w:szCs w:val="24"/>
              </w:rPr>
            </w:pPr>
            <w:r>
              <w:rPr>
                <w:b/>
                <w:sz w:val="24"/>
                <w:szCs w:val="24"/>
              </w:rPr>
              <w:lastRenderedPageBreak/>
              <w:t>PEPA / PCC4U</w:t>
            </w:r>
          </w:p>
        </w:tc>
        <w:tc>
          <w:tcPr>
            <w:tcW w:w="7477" w:type="dxa"/>
          </w:tcPr>
          <w:p w:rsidR="000E3099" w:rsidRPr="000930DE" w:rsidRDefault="009067E0" w:rsidP="000930DE">
            <w:pPr>
              <w:pStyle w:val="ListParagraph"/>
              <w:numPr>
                <w:ilvl w:val="0"/>
                <w:numId w:val="16"/>
              </w:numPr>
              <w:spacing w:before="60" w:after="60"/>
              <w:ind w:left="317" w:hanging="317"/>
              <w:rPr>
                <w:sz w:val="24"/>
                <w:szCs w:val="24"/>
              </w:rPr>
            </w:pPr>
            <w:r w:rsidRPr="009067E0">
              <w:rPr>
                <w:b/>
                <w:sz w:val="24"/>
                <w:szCs w:val="24"/>
              </w:rPr>
              <w:t>Other education providers</w:t>
            </w:r>
            <w:r>
              <w:rPr>
                <w:sz w:val="24"/>
                <w:szCs w:val="24"/>
              </w:rPr>
              <w:t xml:space="preserve"> – f</w:t>
            </w:r>
            <w:r w:rsidR="000E3099">
              <w:rPr>
                <w:sz w:val="24"/>
                <w:szCs w:val="24"/>
              </w:rPr>
              <w:t>acilitate education mapping project</w:t>
            </w:r>
            <w:r w:rsidR="000930DE">
              <w:rPr>
                <w:sz w:val="24"/>
                <w:szCs w:val="24"/>
              </w:rPr>
              <w:t>; i</w:t>
            </w:r>
            <w:r w:rsidR="000E3099" w:rsidRPr="000930DE">
              <w:rPr>
                <w:sz w:val="24"/>
                <w:szCs w:val="24"/>
              </w:rPr>
              <w:t xml:space="preserve">dentify additional support tools to put on </w:t>
            </w:r>
            <w:r w:rsidR="000930DE">
              <w:rPr>
                <w:sz w:val="24"/>
                <w:szCs w:val="24"/>
              </w:rPr>
              <w:t xml:space="preserve">the education </w:t>
            </w:r>
            <w:r w:rsidR="000E3099" w:rsidRPr="000930DE">
              <w:rPr>
                <w:sz w:val="24"/>
                <w:szCs w:val="24"/>
              </w:rPr>
              <w:t>hub</w:t>
            </w:r>
            <w:r w:rsidR="000930DE">
              <w:rPr>
                <w:sz w:val="24"/>
                <w:szCs w:val="24"/>
              </w:rPr>
              <w:t>; assess position within the framework; link services with the education hub.</w:t>
            </w:r>
          </w:p>
          <w:p w:rsidR="000E3099" w:rsidRDefault="000E3099" w:rsidP="009067E0">
            <w:pPr>
              <w:pStyle w:val="ListParagraph"/>
              <w:numPr>
                <w:ilvl w:val="0"/>
                <w:numId w:val="16"/>
              </w:numPr>
              <w:spacing w:before="60" w:after="60"/>
              <w:ind w:left="317" w:hanging="317"/>
              <w:rPr>
                <w:sz w:val="24"/>
                <w:szCs w:val="24"/>
              </w:rPr>
            </w:pPr>
            <w:proofErr w:type="spellStart"/>
            <w:r w:rsidRPr="009067E0">
              <w:rPr>
                <w:b/>
                <w:sz w:val="24"/>
                <w:szCs w:val="24"/>
              </w:rPr>
              <w:t>HammondCare</w:t>
            </w:r>
            <w:proofErr w:type="spellEnd"/>
            <w:r w:rsidRPr="009067E0">
              <w:rPr>
                <w:b/>
                <w:sz w:val="24"/>
                <w:szCs w:val="24"/>
              </w:rPr>
              <w:t xml:space="preserve"> </w:t>
            </w:r>
            <w:r>
              <w:rPr>
                <w:sz w:val="24"/>
                <w:szCs w:val="24"/>
              </w:rPr>
              <w:t xml:space="preserve">– cross </w:t>
            </w:r>
            <w:r w:rsidR="009067E0">
              <w:rPr>
                <w:sz w:val="24"/>
                <w:szCs w:val="24"/>
              </w:rPr>
              <w:t>promotion of PEPA for GP practice nurses.</w:t>
            </w:r>
          </w:p>
          <w:p w:rsidR="000E3099" w:rsidRDefault="000E3099" w:rsidP="009067E0">
            <w:pPr>
              <w:pStyle w:val="ListParagraph"/>
              <w:numPr>
                <w:ilvl w:val="0"/>
                <w:numId w:val="16"/>
              </w:numPr>
              <w:spacing w:before="60" w:after="60"/>
              <w:ind w:left="317" w:hanging="317"/>
              <w:rPr>
                <w:sz w:val="24"/>
                <w:szCs w:val="24"/>
              </w:rPr>
            </w:pPr>
            <w:r w:rsidRPr="009067E0">
              <w:rPr>
                <w:b/>
                <w:sz w:val="24"/>
                <w:szCs w:val="24"/>
              </w:rPr>
              <w:t>Austin Health</w:t>
            </w:r>
            <w:r>
              <w:rPr>
                <w:sz w:val="24"/>
                <w:szCs w:val="24"/>
              </w:rPr>
              <w:t xml:space="preserve"> – </w:t>
            </w:r>
            <w:r w:rsidR="009067E0">
              <w:rPr>
                <w:sz w:val="24"/>
                <w:szCs w:val="24"/>
              </w:rPr>
              <w:t>cross promotion; explore a potential specialist module in advance care planning for undergraduates.</w:t>
            </w:r>
          </w:p>
          <w:p w:rsidR="000E3099" w:rsidRPr="000930DE" w:rsidRDefault="000E3099" w:rsidP="009067E0">
            <w:pPr>
              <w:pStyle w:val="ListParagraph"/>
              <w:numPr>
                <w:ilvl w:val="0"/>
                <w:numId w:val="16"/>
              </w:numPr>
              <w:spacing w:before="60" w:after="60"/>
              <w:ind w:left="317" w:hanging="317"/>
              <w:rPr>
                <w:b/>
                <w:sz w:val="24"/>
                <w:szCs w:val="24"/>
              </w:rPr>
            </w:pPr>
            <w:proofErr w:type="spellStart"/>
            <w:r w:rsidRPr="000930DE">
              <w:rPr>
                <w:b/>
                <w:sz w:val="24"/>
                <w:szCs w:val="24"/>
              </w:rPr>
              <w:t>CareSearch</w:t>
            </w:r>
            <w:proofErr w:type="spellEnd"/>
            <w:r w:rsidR="000930DE">
              <w:rPr>
                <w:b/>
                <w:sz w:val="24"/>
                <w:szCs w:val="24"/>
              </w:rPr>
              <w:t xml:space="preserve"> – </w:t>
            </w:r>
            <w:r w:rsidR="000930DE" w:rsidRPr="000930DE">
              <w:rPr>
                <w:sz w:val="24"/>
                <w:szCs w:val="24"/>
              </w:rPr>
              <w:t>complete build of the education hub.</w:t>
            </w:r>
          </w:p>
          <w:p w:rsidR="000930DE" w:rsidRPr="000930DE" w:rsidRDefault="000930DE" w:rsidP="009067E0">
            <w:pPr>
              <w:pStyle w:val="ListParagraph"/>
              <w:numPr>
                <w:ilvl w:val="0"/>
                <w:numId w:val="16"/>
              </w:numPr>
              <w:spacing w:before="60" w:after="60"/>
              <w:ind w:left="317" w:hanging="317"/>
              <w:rPr>
                <w:b/>
                <w:sz w:val="24"/>
                <w:szCs w:val="24"/>
              </w:rPr>
            </w:pPr>
            <w:proofErr w:type="spellStart"/>
            <w:r>
              <w:rPr>
                <w:b/>
                <w:sz w:val="24"/>
                <w:szCs w:val="24"/>
              </w:rPr>
              <w:t>QuoCCA</w:t>
            </w:r>
            <w:proofErr w:type="spellEnd"/>
            <w:r>
              <w:rPr>
                <w:b/>
                <w:sz w:val="24"/>
                <w:szCs w:val="24"/>
              </w:rPr>
              <w:t xml:space="preserve"> </w:t>
            </w:r>
            <w:r>
              <w:rPr>
                <w:sz w:val="24"/>
                <w:szCs w:val="24"/>
              </w:rPr>
              <w:t>– further develop ways to use existing education resources and develop new resources; discuss PCC4U involvement for undergraduate medical students; contribute to mapping project</w:t>
            </w:r>
          </w:p>
        </w:tc>
      </w:tr>
      <w:tr w:rsidR="008C3921" w:rsidTr="00A43CE7">
        <w:trPr>
          <w:trHeight w:val="745"/>
        </w:trPr>
        <w:tc>
          <w:tcPr>
            <w:tcW w:w="2943" w:type="dxa"/>
          </w:tcPr>
          <w:p w:rsidR="008C3921" w:rsidRDefault="008C3921" w:rsidP="00556A82">
            <w:pPr>
              <w:spacing w:before="60" w:after="60"/>
              <w:rPr>
                <w:b/>
                <w:sz w:val="24"/>
                <w:szCs w:val="24"/>
              </w:rPr>
            </w:pPr>
            <w:proofErr w:type="spellStart"/>
            <w:r>
              <w:rPr>
                <w:b/>
                <w:sz w:val="24"/>
                <w:szCs w:val="24"/>
              </w:rPr>
              <w:t>HammondCare</w:t>
            </w:r>
            <w:proofErr w:type="spellEnd"/>
          </w:p>
        </w:tc>
        <w:tc>
          <w:tcPr>
            <w:tcW w:w="7477" w:type="dxa"/>
          </w:tcPr>
          <w:p w:rsidR="000E3099" w:rsidRPr="000930DE" w:rsidRDefault="000E3099" w:rsidP="009067E0">
            <w:pPr>
              <w:pStyle w:val="ListParagraph"/>
              <w:numPr>
                <w:ilvl w:val="0"/>
                <w:numId w:val="16"/>
              </w:numPr>
              <w:spacing w:before="60" w:after="60"/>
              <w:ind w:left="317" w:hanging="317"/>
              <w:rPr>
                <w:b/>
                <w:sz w:val="24"/>
                <w:szCs w:val="24"/>
              </w:rPr>
            </w:pPr>
            <w:r w:rsidRPr="000930DE">
              <w:rPr>
                <w:b/>
                <w:sz w:val="24"/>
                <w:szCs w:val="24"/>
              </w:rPr>
              <w:t>Austin Health</w:t>
            </w:r>
            <w:r w:rsidR="000930DE">
              <w:rPr>
                <w:b/>
                <w:sz w:val="24"/>
                <w:szCs w:val="24"/>
              </w:rPr>
              <w:t xml:space="preserve"> &amp; </w:t>
            </w:r>
            <w:proofErr w:type="spellStart"/>
            <w:r w:rsidR="000930DE">
              <w:rPr>
                <w:b/>
                <w:sz w:val="24"/>
                <w:szCs w:val="24"/>
              </w:rPr>
              <w:t>CareSearch</w:t>
            </w:r>
            <w:proofErr w:type="spellEnd"/>
            <w:r w:rsidR="000930DE">
              <w:rPr>
                <w:sz w:val="24"/>
                <w:szCs w:val="24"/>
              </w:rPr>
              <w:t xml:space="preserve"> – continue existing collaboration.</w:t>
            </w:r>
          </w:p>
          <w:p w:rsidR="000930DE" w:rsidRDefault="000930DE" w:rsidP="000930DE">
            <w:pPr>
              <w:pStyle w:val="ListParagraph"/>
              <w:numPr>
                <w:ilvl w:val="0"/>
                <w:numId w:val="16"/>
              </w:numPr>
              <w:spacing w:before="60" w:after="60"/>
              <w:ind w:left="317" w:hanging="317"/>
              <w:rPr>
                <w:sz w:val="24"/>
                <w:szCs w:val="24"/>
              </w:rPr>
            </w:pPr>
            <w:r>
              <w:rPr>
                <w:b/>
                <w:sz w:val="24"/>
                <w:szCs w:val="24"/>
              </w:rPr>
              <w:t>Charles Sturt University &amp; Amaranth Foundation</w:t>
            </w:r>
            <w:r>
              <w:rPr>
                <w:sz w:val="24"/>
                <w:szCs w:val="24"/>
              </w:rPr>
              <w:t xml:space="preserve"> – collaborate around education and referral pathways for GP practice nurses.</w:t>
            </w:r>
          </w:p>
          <w:p w:rsidR="000E3099" w:rsidRDefault="000E3099" w:rsidP="009067E0">
            <w:pPr>
              <w:pStyle w:val="ListParagraph"/>
              <w:numPr>
                <w:ilvl w:val="0"/>
                <w:numId w:val="16"/>
              </w:numPr>
              <w:spacing w:before="60" w:after="60"/>
              <w:ind w:left="317" w:hanging="317"/>
              <w:rPr>
                <w:sz w:val="24"/>
                <w:szCs w:val="24"/>
              </w:rPr>
            </w:pPr>
            <w:r w:rsidRPr="000930DE">
              <w:rPr>
                <w:b/>
                <w:sz w:val="24"/>
                <w:szCs w:val="24"/>
              </w:rPr>
              <w:t xml:space="preserve">PEPA/PCC4U </w:t>
            </w:r>
            <w:r>
              <w:rPr>
                <w:sz w:val="24"/>
                <w:szCs w:val="24"/>
              </w:rPr>
              <w:t>–</w:t>
            </w:r>
            <w:r w:rsidR="000930DE">
              <w:rPr>
                <w:sz w:val="24"/>
                <w:szCs w:val="24"/>
              </w:rPr>
              <w:t xml:space="preserve"> cross promotion; involvement in the education hub;</w:t>
            </w:r>
            <w:r>
              <w:rPr>
                <w:sz w:val="24"/>
                <w:szCs w:val="24"/>
              </w:rPr>
              <w:t xml:space="preserve"> potential for using similar evaluation tools for comparative data</w:t>
            </w:r>
            <w:r w:rsidR="000930DE">
              <w:rPr>
                <w:sz w:val="24"/>
                <w:szCs w:val="24"/>
              </w:rPr>
              <w:t>.</w:t>
            </w:r>
          </w:p>
          <w:p w:rsidR="000E3099" w:rsidRDefault="000930DE" w:rsidP="009067E0">
            <w:pPr>
              <w:pStyle w:val="ListParagraph"/>
              <w:numPr>
                <w:ilvl w:val="0"/>
                <w:numId w:val="16"/>
              </w:numPr>
              <w:spacing w:before="60" w:after="60"/>
              <w:ind w:left="317" w:hanging="317"/>
              <w:rPr>
                <w:sz w:val="24"/>
                <w:szCs w:val="24"/>
              </w:rPr>
            </w:pPr>
            <w:r w:rsidRPr="000930DE">
              <w:rPr>
                <w:b/>
                <w:sz w:val="24"/>
                <w:szCs w:val="24"/>
              </w:rPr>
              <w:t>End of Life Care Essentials</w:t>
            </w:r>
            <w:r>
              <w:rPr>
                <w:sz w:val="24"/>
                <w:szCs w:val="24"/>
              </w:rPr>
              <w:t xml:space="preserve"> – learn from their experiences in developing online training modules.</w:t>
            </w:r>
          </w:p>
          <w:p w:rsidR="000E3099" w:rsidRDefault="000930DE" w:rsidP="009067E0">
            <w:pPr>
              <w:pStyle w:val="ListParagraph"/>
              <w:numPr>
                <w:ilvl w:val="0"/>
                <w:numId w:val="16"/>
              </w:numPr>
              <w:spacing w:before="60" w:after="60"/>
              <w:ind w:left="317" w:hanging="317"/>
              <w:rPr>
                <w:sz w:val="24"/>
                <w:szCs w:val="24"/>
              </w:rPr>
            </w:pPr>
            <w:r>
              <w:rPr>
                <w:b/>
                <w:sz w:val="24"/>
                <w:szCs w:val="24"/>
              </w:rPr>
              <w:t xml:space="preserve">PCOC &amp; </w:t>
            </w:r>
            <w:proofErr w:type="spellStart"/>
            <w:r w:rsidR="000E3099" w:rsidRPr="000930DE">
              <w:rPr>
                <w:b/>
                <w:sz w:val="24"/>
                <w:szCs w:val="24"/>
              </w:rPr>
              <w:t>PaCCSC</w:t>
            </w:r>
            <w:proofErr w:type="spellEnd"/>
            <w:r w:rsidR="000E3099">
              <w:rPr>
                <w:sz w:val="24"/>
                <w:szCs w:val="24"/>
              </w:rPr>
              <w:t xml:space="preserve"> </w:t>
            </w:r>
            <w:r w:rsidR="0027057B">
              <w:rPr>
                <w:sz w:val="24"/>
                <w:szCs w:val="24"/>
              </w:rPr>
              <w:t>–</w:t>
            </w:r>
            <w:r w:rsidR="000E3099">
              <w:rPr>
                <w:sz w:val="24"/>
                <w:szCs w:val="24"/>
              </w:rPr>
              <w:t xml:space="preserve"> </w:t>
            </w:r>
            <w:r w:rsidR="0027057B">
              <w:rPr>
                <w:sz w:val="24"/>
                <w:szCs w:val="24"/>
              </w:rPr>
              <w:t xml:space="preserve">learn </w:t>
            </w:r>
            <w:r>
              <w:rPr>
                <w:sz w:val="24"/>
                <w:szCs w:val="24"/>
              </w:rPr>
              <w:t xml:space="preserve">from experiences and </w:t>
            </w:r>
            <w:r w:rsidR="0027057B">
              <w:rPr>
                <w:sz w:val="24"/>
                <w:szCs w:val="24"/>
              </w:rPr>
              <w:t xml:space="preserve">seek feedback </w:t>
            </w:r>
            <w:r>
              <w:rPr>
                <w:sz w:val="24"/>
                <w:szCs w:val="24"/>
              </w:rPr>
              <w:t xml:space="preserve">on collecting identifiable data, particularly the associated </w:t>
            </w:r>
            <w:r w:rsidR="0027057B">
              <w:rPr>
                <w:sz w:val="24"/>
                <w:szCs w:val="24"/>
              </w:rPr>
              <w:t>ethics.</w:t>
            </w:r>
          </w:p>
          <w:p w:rsidR="0027057B" w:rsidRPr="008C3921" w:rsidRDefault="0027057B" w:rsidP="000930DE">
            <w:pPr>
              <w:pStyle w:val="ListParagraph"/>
              <w:numPr>
                <w:ilvl w:val="0"/>
                <w:numId w:val="16"/>
              </w:numPr>
              <w:spacing w:before="60" w:after="60"/>
              <w:ind w:left="317" w:hanging="317"/>
              <w:rPr>
                <w:sz w:val="24"/>
                <w:szCs w:val="24"/>
              </w:rPr>
            </w:pPr>
            <w:r w:rsidRPr="000930DE">
              <w:rPr>
                <w:b/>
                <w:sz w:val="24"/>
                <w:szCs w:val="24"/>
              </w:rPr>
              <w:t xml:space="preserve">Carers </w:t>
            </w:r>
            <w:r w:rsidR="000930DE">
              <w:rPr>
                <w:b/>
                <w:sz w:val="24"/>
                <w:szCs w:val="24"/>
              </w:rPr>
              <w:t xml:space="preserve">Australia </w:t>
            </w:r>
            <w:r>
              <w:rPr>
                <w:sz w:val="24"/>
                <w:szCs w:val="24"/>
              </w:rPr>
              <w:t xml:space="preserve">– </w:t>
            </w:r>
            <w:r w:rsidR="000930DE">
              <w:rPr>
                <w:sz w:val="24"/>
                <w:szCs w:val="24"/>
              </w:rPr>
              <w:t>seek consumer input in patient tools.</w:t>
            </w:r>
          </w:p>
        </w:tc>
      </w:tr>
    </w:tbl>
    <w:p w:rsidR="00556A82" w:rsidRPr="00556A82" w:rsidRDefault="00556A82">
      <w:pPr>
        <w:rPr>
          <w:sz w:val="60"/>
          <w:szCs w:val="60"/>
        </w:rPr>
      </w:pPr>
    </w:p>
    <w:p w:rsidR="00556A82" w:rsidRDefault="00556A82"/>
    <w:p w:rsidR="00556A82" w:rsidRDefault="00556A82">
      <w:pPr>
        <w:spacing w:after="200" w:line="276" w:lineRule="auto"/>
      </w:pPr>
    </w:p>
    <w:sectPr w:rsidR="00556A82" w:rsidSect="00A43CE7">
      <w:headerReference w:type="default" r:id="rId8"/>
      <w:footerReference w:type="default" r:id="rId9"/>
      <w:pgSz w:w="11906" w:h="16838"/>
      <w:pgMar w:top="851" w:right="851" w:bottom="851" w:left="851"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83" w:rsidRDefault="00032F83" w:rsidP="0027057B">
      <w:pPr>
        <w:spacing w:after="0" w:line="240" w:lineRule="auto"/>
      </w:pPr>
      <w:r>
        <w:separator/>
      </w:r>
    </w:p>
  </w:endnote>
  <w:endnote w:type="continuationSeparator" w:id="0">
    <w:p w:rsidR="00032F83" w:rsidRDefault="00032F83" w:rsidP="0027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337378970"/>
      <w:docPartObj>
        <w:docPartGallery w:val="Page Numbers (Bottom of Page)"/>
        <w:docPartUnique/>
      </w:docPartObj>
    </w:sdtPr>
    <w:sdtEndPr>
      <w:rPr>
        <w:noProof/>
      </w:rPr>
    </w:sdtEndPr>
    <w:sdtContent>
      <w:p w:rsidR="00A43CE7" w:rsidRPr="00A43CE7" w:rsidRDefault="00A43CE7" w:rsidP="00A43CE7">
        <w:pPr>
          <w:pStyle w:val="Footer"/>
          <w:pBdr>
            <w:top w:val="single" w:sz="4" w:space="1" w:color="auto"/>
          </w:pBdr>
          <w:tabs>
            <w:tab w:val="clear" w:pos="4513"/>
            <w:tab w:val="clear" w:pos="9026"/>
            <w:tab w:val="center" w:pos="5103"/>
            <w:tab w:val="right" w:pos="10206"/>
          </w:tabs>
          <w:rPr>
            <w:b/>
            <w:sz w:val="16"/>
            <w:szCs w:val="16"/>
          </w:rPr>
        </w:pPr>
        <w:r w:rsidRPr="00A43CE7">
          <w:rPr>
            <w:b/>
            <w:sz w:val="16"/>
            <w:szCs w:val="16"/>
          </w:rPr>
          <w:t>Version: 1 (Draft)</w:t>
        </w:r>
        <w:r w:rsidRPr="00A43CE7">
          <w:rPr>
            <w:b/>
            <w:sz w:val="16"/>
            <w:szCs w:val="16"/>
          </w:rPr>
          <w:tab/>
          <w:t>Last updated</w:t>
        </w:r>
        <w:r>
          <w:rPr>
            <w:b/>
            <w:sz w:val="16"/>
            <w:szCs w:val="16"/>
          </w:rPr>
          <w:t>:</w:t>
        </w:r>
        <w:r w:rsidRPr="00A43CE7">
          <w:rPr>
            <w:b/>
            <w:sz w:val="16"/>
            <w:szCs w:val="16"/>
          </w:rPr>
          <w:t xml:space="preserve"> 7 April 2016 </w:t>
        </w:r>
        <w:r w:rsidRPr="00A43CE7">
          <w:rPr>
            <w:b/>
            <w:sz w:val="16"/>
            <w:szCs w:val="16"/>
          </w:rPr>
          <w:tab/>
          <w:t xml:space="preserve">Page </w:t>
        </w:r>
        <w:r w:rsidRPr="00A43CE7">
          <w:rPr>
            <w:b/>
            <w:sz w:val="16"/>
            <w:szCs w:val="16"/>
          </w:rPr>
          <w:fldChar w:fldCharType="begin"/>
        </w:r>
        <w:r w:rsidRPr="00A43CE7">
          <w:rPr>
            <w:b/>
            <w:sz w:val="16"/>
            <w:szCs w:val="16"/>
          </w:rPr>
          <w:instrText xml:space="preserve"> PAGE   \* MERGEFORMAT </w:instrText>
        </w:r>
        <w:r w:rsidRPr="00A43CE7">
          <w:rPr>
            <w:b/>
            <w:sz w:val="16"/>
            <w:szCs w:val="16"/>
          </w:rPr>
          <w:fldChar w:fldCharType="separate"/>
        </w:r>
        <w:r>
          <w:rPr>
            <w:b/>
            <w:noProof/>
            <w:sz w:val="16"/>
            <w:szCs w:val="16"/>
          </w:rPr>
          <w:t>1</w:t>
        </w:r>
        <w:r w:rsidRPr="00A43CE7">
          <w:rPr>
            <w:b/>
            <w:noProof/>
            <w:sz w:val="16"/>
            <w:szCs w:val="16"/>
          </w:rPr>
          <w:fldChar w:fldCharType="end"/>
        </w:r>
        <w:r w:rsidRPr="00A43CE7">
          <w:rPr>
            <w:b/>
            <w:noProof/>
            <w:sz w:val="16"/>
            <w:szCs w:val="16"/>
          </w:rPr>
          <w:t xml:space="preserve"> of 3</w:t>
        </w:r>
      </w:p>
    </w:sdtContent>
  </w:sdt>
  <w:p w:rsidR="0027057B" w:rsidRDefault="00270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83" w:rsidRDefault="00032F83" w:rsidP="0027057B">
      <w:pPr>
        <w:spacing w:after="0" w:line="240" w:lineRule="auto"/>
      </w:pPr>
      <w:r>
        <w:separator/>
      </w:r>
    </w:p>
  </w:footnote>
  <w:footnote w:type="continuationSeparator" w:id="0">
    <w:p w:rsidR="00032F83" w:rsidRDefault="00032F83" w:rsidP="00270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405018"/>
      <w:docPartObj>
        <w:docPartGallery w:val="Watermarks"/>
        <w:docPartUnique/>
      </w:docPartObj>
    </w:sdtPr>
    <w:sdtContent>
      <w:p w:rsidR="0027057B" w:rsidRDefault="0027057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22E"/>
    <w:multiLevelType w:val="hybridMultilevel"/>
    <w:tmpl w:val="06B49D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5C2F65"/>
    <w:multiLevelType w:val="hybridMultilevel"/>
    <w:tmpl w:val="ADA65E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07600F1"/>
    <w:multiLevelType w:val="hybridMultilevel"/>
    <w:tmpl w:val="6C58D0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A42746"/>
    <w:multiLevelType w:val="hybridMultilevel"/>
    <w:tmpl w:val="C3DAFB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EE94DF3"/>
    <w:multiLevelType w:val="hybridMultilevel"/>
    <w:tmpl w:val="E2FEBF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00F6455"/>
    <w:multiLevelType w:val="hybridMultilevel"/>
    <w:tmpl w:val="FD94D2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A43337"/>
    <w:multiLevelType w:val="hybridMultilevel"/>
    <w:tmpl w:val="1AEAE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31700B"/>
    <w:multiLevelType w:val="hybridMultilevel"/>
    <w:tmpl w:val="509A8E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F1B3765"/>
    <w:multiLevelType w:val="hybridMultilevel"/>
    <w:tmpl w:val="69902F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19B23CB"/>
    <w:multiLevelType w:val="hybridMultilevel"/>
    <w:tmpl w:val="887EE0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BD15325"/>
    <w:multiLevelType w:val="hybridMultilevel"/>
    <w:tmpl w:val="064284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ED577B9"/>
    <w:multiLevelType w:val="hybridMultilevel"/>
    <w:tmpl w:val="C874A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23449B1"/>
    <w:multiLevelType w:val="hybridMultilevel"/>
    <w:tmpl w:val="42169D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D5A7692"/>
    <w:multiLevelType w:val="hybridMultilevel"/>
    <w:tmpl w:val="6C1250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2562E12"/>
    <w:multiLevelType w:val="hybridMultilevel"/>
    <w:tmpl w:val="C8BC69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DF75084"/>
    <w:multiLevelType w:val="hybridMultilevel"/>
    <w:tmpl w:val="8398D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8"/>
  </w:num>
  <w:num w:numId="5">
    <w:abstractNumId w:val="15"/>
  </w:num>
  <w:num w:numId="6">
    <w:abstractNumId w:val="5"/>
  </w:num>
  <w:num w:numId="7">
    <w:abstractNumId w:val="1"/>
  </w:num>
  <w:num w:numId="8">
    <w:abstractNumId w:val="11"/>
  </w:num>
  <w:num w:numId="9">
    <w:abstractNumId w:val="3"/>
  </w:num>
  <w:num w:numId="10">
    <w:abstractNumId w:val="13"/>
  </w:num>
  <w:num w:numId="11">
    <w:abstractNumId w:val="7"/>
  </w:num>
  <w:num w:numId="12">
    <w:abstractNumId w:val="0"/>
  </w:num>
  <w:num w:numId="13">
    <w:abstractNumId w:val="10"/>
  </w:num>
  <w:num w:numId="14">
    <w:abstractNumId w:val="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F5"/>
    <w:rsid w:val="00032F83"/>
    <w:rsid w:val="000930DE"/>
    <w:rsid w:val="000D2919"/>
    <w:rsid w:val="000E3099"/>
    <w:rsid w:val="0027057B"/>
    <w:rsid w:val="00352146"/>
    <w:rsid w:val="003C1714"/>
    <w:rsid w:val="004C1509"/>
    <w:rsid w:val="00556A82"/>
    <w:rsid w:val="005A1D90"/>
    <w:rsid w:val="00683052"/>
    <w:rsid w:val="007D4A91"/>
    <w:rsid w:val="008126F5"/>
    <w:rsid w:val="008C3921"/>
    <w:rsid w:val="009067E0"/>
    <w:rsid w:val="00A43CE7"/>
    <w:rsid w:val="00A629D5"/>
    <w:rsid w:val="00BD2DCB"/>
    <w:rsid w:val="00C40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F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6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29D5"/>
    <w:pPr>
      <w:ind w:left="720"/>
      <w:contextualSpacing/>
    </w:pPr>
  </w:style>
  <w:style w:type="paragraph" w:styleId="Header">
    <w:name w:val="header"/>
    <w:basedOn w:val="Normal"/>
    <w:link w:val="HeaderChar"/>
    <w:uiPriority w:val="99"/>
    <w:unhideWhenUsed/>
    <w:rsid w:val="00270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57B"/>
  </w:style>
  <w:style w:type="paragraph" w:styleId="Footer">
    <w:name w:val="footer"/>
    <w:basedOn w:val="Normal"/>
    <w:link w:val="FooterChar"/>
    <w:uiPriority w:val="99"/>
    <w:unhideWhenUsed/>
    <w:rsid w:val="00270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F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6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29D5"/>
    <w:pPr>
      <w:ind w:left="720"/>
      <w:contextualSpacing/>
    </w:pPr>
  </w:style>
  <w:style w:type="paragraph" w:styleId="Header">
    <w:name w:val="header"/>
    <w:basedOn w:val="Normal"/>
    <w:link w:val="HeaderChar"/>
    <w:uiPriority w:val="99"/>
    <w:unhideWhenUsed/>
    <w:rsid w:val="00270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57B"/>
  </w:style>
  <w:style w:type="paragraph" w:styleId="Footer">
    <w:name w:val="footer"/>
    <w:basedOn w:val="Normal"/>
    <w:link w:val="FooterChar"/>
    <w:uiPriority w:val="99"/>
    <w:unhideWhenUsed/>
    <w:rsid w:val="00270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Forward.IT</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Kirkpatrick</dc:creator>
  <cp:lastModifiedBy>Philippa Kirkpatrick</cp:lastModifiedBy>
  <cp:revision>2</cp:revision>
  <dcterms:created xsi:type="dcterms:W3CDTF">2016-04-07T08:29:00Z</dcterms:created>
  <dcterms:modified xsi:type="dcterms:W3CDTF">2016-04-07T08:29:00Z</dcterms:modified>
</cp:coreProperties>
</file>