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2C48" w:rsidRDefault="008F6722" w:rsidP="00FA36F8">
      <w:pPr>
        <w:pStyle w:val="Title"/>
        <w:spacing w:before="0" w:after="0"/>
        <w:rPr>
          <w:sz w:val="40"/>
          <w:szCs w:val="40"/>
        </w:rPr>
      </w:pPr>
      <w:r>
        <w:rPr>
          <w:sz w:val="40"/>
          <w:szCs w:val="40"/>
        </w:rPr>
        <w:t xml:space="preserve">National </w:t>
      </w:r>
      <w:r w:rsidR="000E75B3" w:rsidRPr="000E75B3">
        <w:rPr>
          <w:sz w:val="40"/>
          <w:szCs w:val="40"/>
        </w:rPr>
        <w:t>Palliative Care Grant Recipient</w:t>
      </w:r>
      <w:r>
        <w:rPr>
          <w:sz w:val="40"/>
          <w:szCs w:val="40"/>
        </w:rPr>
        <w:t>s’</w:t>
      </w:r>
      <w:r w:rsidR="000E75B3" w:rsidRPr="000E75B3">
        <w:rPr>
          <w:sz w:val="40"/>
          <w:szCs w:val="40"/>
        </w:rPr>
        <w:t xml:space="preserve"> Forum</w:t>
      </w:r>
    </w:p>
    <w:p w:rsidR="00421B9D" w:rsidRPr="00FC0302" w:rsidRDefault="00B37DFE" w:rsidP="00FC0302">
      <w:pPr>
        <w:spacing w:after="0"/>
        <w:rPr>
          <w:b/>
          <w:color w:val="003057"/>
        </w:rPr>
      </w:pPr>
      <w:r w:rsidRPr="00FC0302">
        <w:rPr>
          <w:b/>
          <w:color w:val="003057"/>
        </w:rPr>
        <w:t xml:space="preserve">7-8 April 2016 | </w:t>
      </w:r>
      <w:r w:rsidR="00421B9D" w:rsidRPr="00FC0302">
        <w:rPr>
          <w:b/>
          <w:color w:val="003057"/>
        </w:rPr>
        <w:t>Vibe Hotel, Canberra Airport</w:t>
      </w:r>
    </w:p>
    <w:p w:rsidR="000E75B3" w:rsidRDefault="003E24DC" w:rsidP="00967CD3">
      <w:pPr>
        <w:spacing w:before="300" w:after="300"/>
        <w:rPr>
          <w:b/>
          <w:color w:val="FF4539"/>
          <w:sz w:val="36"/>
          <w:szCs w:val="36"/>
        </w:rPr>
      </w:pPr>
      <w:r>
        <w:rPr>
          <w:b/>
          <w:color w:val="FF4539"/>
          <w:sz w:val="36"/>
          <w:szCs w:val="36"/>
        </w:rPr>
        <w:t>Project Information Form</w:t>
      </w:r>
    </w:p>
    <w:p w:rsidR="003E24DC" w:rsidRPr="00B45F75" w:rsidRDefault="001F1254" w:rsidP="00B45F75">
      <w:pPr>
        <w:tabs>
          <w:tab w:val="left" w:pos="1418"/>
        </w:tabs>
        <w:spacing w:before="300" w:after="300"/>
        <w:rPr>
          <w:color w:val="003057"/>
        </w:rPr>
      </w:pPr>
      <w:r w:rsidRPr="00B45F75">
        <w:rPr>
          <w:b/>
          <w:color w:val="003057"/>
          <w:sz w:val="36"/>
          <w:szCs w:val="36"/>
        </w:rPr>
        <w:t xml:space="preserve">Project: </w:t>
      </w:r>
      <w:r w:rsidR="002A7C53">
        <w:rPr>
          <w:b/>
          <w:color w:val="808080" w:themeColor="background1" w:themeShade="80"/>
          <w:sz w:val="36"/>
          <w:szCs w:val="36"/>
        </w:rPr>
        <w:tab/>
      </w:r>
      <w:sdt>
        <w:sdtPr>
          <w:rPr>
            <w:color w:val="003057"/>
          </w:rPr>
          <w:id w:val="1260639088"/>
          <w:placeholder>
            <w:docPart w:val="9B25A445215D4C56AF44CBB95D2CA197"/>
          </w:placeholder>
          <w:dropDownList>
            <w:listItem w:displayText="Click to choose your project." w:value="Click to choose your project."/>
            <w:listItem w:displayText="Australian Institute of Health and Welfare" w:value="Australian Institute of Health and Welfare"/>
            <w:listItem w:displayText="CareSearch" w:value="CareSearch"/>
            <w:listItem w:displayText="Education Modules on End of Life Care in Acute Hospitals" w:value="Education Modules on End of Life Care in Acute Hospitals"/>
            <w:listItem w:displayText="HammondCare Palliative and Supportive Care Service" w:value="HammondCare Palliative and Supportive Care Service"/>
            <w:listItem w:displayText="Listen, Acknowledge, Respond" w:value="Listen, Acknowledge, Respond"/>
            <w:listItem w:displayText="Online Resource for Religious and Cultural Advance Care Planning" w:value="Online Resource for Religious and Cultural Advance Care Planning"/>
            <w:listItem w:displayText="Paediatric Palliative Care National Education &amp; Quality Improvement Collaborative" w:value="Paediatric Palliative Care National Education &amp; Quality Improvement Collaborative"/>
            <w:listItem w:displayText="Palliative Care Australia" w:value="Palliative Care Australia"/>
            <w:listItem w:displayText="Palliative Care Clinical Studies Collaborative" w:value="Palliative Care Clinical Studies Collaborative"/>
            <w:listItem w:displayText="Palliative Care Education and Training Collaborative" w:value="Palliative Care Education and Training Collaborative"/>
            <w:listItem w:displayText="Palliative Care Outcomes Collaboration" w:value="Palliative Care Outcomes Collaboration"/>
            <w:listItem w:displayText="Palliative Care Training and Information Online Portal" w:value="Palliative Care Training and Information Online Portal"/>
            <w:listItem w:displayText="Respecting Patient Choices" w:value="Respecting Patient Choices"/>
            <w:listItem w:displayText="Towards True Community Care" w:value="Towards True Community Care"/>
            <w:listItem w:displayText="Training Counsellors for Carers of Palliative Patients" w:value="Training Counsellors for Carers of Palliative Patients"/>
          </w:dropDownList>
        </w:sdtPr>
        <w:sdtEndPr/>
        <w:sdtContent>
          <w:r w:rsidR="006C6EED">
            <w:rPr>
              <w:color w:val="003057"/>
            </w:rPr>
            <w:t>Palliative Care Outcomes Collaboration</w:t>
          </w:r>
        </w:sdtContent>
      </w:sdt>
    </w:p>
    <w:tbl>
      <w:tblPr>
        <w:tblStyle w:val="TableGrid"/>
        <w:tblW w:w="5522" w:type="pct"/>
        <w:tblInd w:w="-459" w:type="dxa"/>
        <w:tblBorders>
          <w:insideV w:val="none" w:sz="0" w:space="0" w:color="auto"/>
        </w:tblBorders>
        <w:tblLook w:val="04A0" w:firstRow="1" w:lastRow="0" w:firstColumn="1" w:lastColumn="0" w:noHBand="0" w:noVBand="1"/>
      </w:tblPr>
      <w:tblGrid>
        <w:gridCol w:w="1289"/>
        <w:gridCol w:w="8918"/>
      </w:tblGrid>
      <w:tr w:rsidR="000E75B3" w:rsidRPr="000E75B3" w:rsidTr="006C6EED">
        <w:trPr>
          <w:cantSplit/>
          <w:trHeight w:hRule="exact" w:val="2897"/>
        </w:trPr>
        <w:tc>
          <w:tcPr>
            <w:tcW w:w="631" w:type="pct"/>
            <w:tcBorders>
              <w:right w:val="single" w:sz="4" w:space="0" w:color="auto"/>
            </w:tcBorders>
          </w:tcPr>
          <w:p w:rsidR="000E75B3" w:rsidRPr="006C6EED" w:rsidRDefault="003E24DC" w:rsidP="006C6EED">
            <w:pPr>
              <w:spacing w:before="40" w:after="40" w:line="240" w:lineRule="auto"/>
              <w:rPr>
                <w:b/>
                <w:sz w:val="24"/>
                <w:szCs w:val="24"/>
              </w:rPr>
            </w:pPr>
            <w:r w:rsidRPr="006C6EED">
              <w:rPr>
                <w:b/>
                <w:sz w:val="24"/>
                <w:szCs w:val="24"/>
              </w:rPr>
              <w:t>Key objectives</w:t>
            </w:r>
          </w:p>
        </w:tc>
        <w:tc>
          <w:tcPr>
            <w:tcW w:w="4369" w:type="pct"/>
            <w:tcBorders>
              <w:left w:val="single" w:sz="4" w:space="0" w:color="auto"/>
            </w:tcBorders>
          </w:tcPr>
          <w:p w:rsidR="005654D3" w:rsidRPr="006F3E44" w:rsidRDefault="006C6EED" w:rsidP="006C6EED">
            <w:pPr>
              <w:spacing w:before="40" w:after="40" w:line="240" w:lineRule="auto"/>
              <w:rPr>
                <w:sz w:val="20"/>
                <w:szCs w:val="20"/>
              </w:rPr>
            </w:pPr>
            <w:r>
              <w:rPr>
                <w:sz w:val="20"/>
                <w:szCs w:val="20"/>
              </w:rPr>
              <w:t>PCOC</w:t>
            </w:r>
            <w:r w:rsidR="005654D3" w:rsidRPr="006F3E44">
              <w:rPr>
                <w:sz w:val="20"/>
                <w:szCs w:val="20"/>
              </w:rPr>
              <w:t xml:space="preserve"> aims to</w:t>
            </w:r>
            <w:r w:rsidR="00240401">
              <w:rPr>
                <w:sz w:val="20"/>
                <w:szCs w:val="20"/>
              </w:rPr>
              <w:t xml:space="preserve"> </w:t>
            </w:r>
            <w:r w:rsidR="005654D3" w:rsidRPr="006F3E44">
              <w:rPr>
                <w:sz w:val="20"/>
                <w:szCs w:val="20"/>
              </w:rPr>
              <w:t>improve the quality of palliative care provided in specialist palliative care services, through the development and maintenance of:</w:t>
            </w:r>
          </w:p>
          <w:p w:rsidR="005654D3" w:rsidRPr="006F3E44" w:rsidRDefault="005654D3" w:rsidP="006C6EED">
            <w:pPr>
              <w:pStyle w:val="ListParagraph"/>
              <w:numPr>
                <w:ilvl w:val="0"/>
                <w:numId w:val="7"/>
              </w:numPr>
              <w:spacing w:before="40" w:after="40" w:line="240" w:lineRule="auto"/>
              <w:rPr>
                <w:sz w:val="20"/>
                <w:szCs w:val="20"/>
              </w:rPr>
            </w:pPr>
            <w:r w:rsidRPr="006F3E44">
              <w:rPr>
                <w:sz w:val="20"/>
                <w:szCs w:val="20"/>
              </w:rPr>
              <w:t xml:space="preserve">clinical assessment tools for participating specialist palliative care services to measure and report patient care outcomes; and </w:t>
            </w:r>
          </w:p>
          <w:p w:rsidR="003E24DC" w:rsidRPr="006C6EED" w:rsidRDefault="005654D3" w:rsidP="006C6EED">
            <w:pPr>
              <w:pStyle w:val="ListParagraph"/>
              <w:numPr>
                <w:ilvl w:val="0"/>
                <w:numId w:val="7"/>
              </w:numPr>
              <w:spacing w:before="40" w:after="40" w:line="240" w:lineRule="auto"/>
              <w:rPr>
                <w:sz w:val="20"/>
                <w:szCs w:val="20"/>
              </w:rPr>
            </w:pPr>
            <w:r w:rsidRPr="006F3E44">
              <w:rPr>
                <w:sz w:val="20"/>
                <w:szCs w:val="20"/>
              </w:rPr>
              <w:t>a set of evidence based measures and benchmarks to define acceptable and appropriate standards of care.</w:t>
            </w:r>
          </w:p>
        </w:tc>
      </w:tr>
      <w:tr w:rsidR="000E75B3" w:rsidRPr="000E75B3" w:rsidTr="006C6EED">
        <w:trPr>
          <w:cantSplit/>
          <w:trHeight w:hRule="exact" w:val="5532"/>
        </w:trPr>
        <w:tc>
          <w:tcPr>
            <w:tcW w:w="631" w:type="pct"/>
            <w:tcBorders>
              <w:right w:val="single" w:sz="4" w:space="0" w:color="auto"/>
            </w:tcBorders>
          </w:tcPr>
          <w:p w:rsidR="000E75B3" w:rsidRPr="006C6EED" w:rsidRDefault="003E24DC" w:rsidP="006C6EED">
            <w:pPr>
              <w:spacing w:before="40" w:after="40" w:line="240" w:lineRule="auto"/>
              <w:rPr>
                <w:b/>
                <w:sz w:val="24"/>
                <w:szCs w:val="24"/>
              </w:rPr>
            </w:pPr>
            <w:r w:rsidRPr="006C6EED">
              <w:rPr>
                <w:b/>
                <w:sz w:val="24"/>
                <w:szCs w:val="24"/>
              </w:rPr>
              <w:t>Key outcomes</w:t>
            </w:r>
          </w:p>
          <w:p w:rsidR="00450D23" w:rsidRPr="006C6EED" w:rsidRDefault="00450D23" w:rsidP="006C6EED">
            <w:pPr>
              <w:spacing w:before="40" w:after="40" w:line="240" w:lineRule="auto"/>
              <w:rPr>
                <w:i/>
                <w:sz w:val="24"/>
                <w:szCs w:val="24"/>
              </w:rPr>
            </w:pPr>
          </w:p>
        </w:tc>
        <w:tc>
          <w:tcPr>
            <w:tcW w:w="4369" w:type="pct"/>
            <w:tcBorders>
              <w:left w:val="single" w:sz="4" w:space="0" w:color="auto"/>
            </w:tcBorders>
          </w:tcPr>
          <w:p w:rsidR="005654D3" w:rsidRDefault="005654D3" w:rsidP="006C6EED">
            <w:pPr>
              <w:pStyle w:val="ListParagraph"/>
              <w:numPr>
                <w:ilvl w:val="0"/>
                <w:numId w:val="8"/>
              </w:numPr>
              <w:spacing w:before="40" w:after="40" w:line="240" w:lineRule="auto"/>
              <w:ind w:left="271" w:hanging="271"/>
              <w:rPr>
                <w:sz w:val="20"/>
                <w:szCs w:val="20"/>
              </w:rPr>
            </w:pPr>
            <w:r w:rsidRPr="00240401">
              <w:rPr>
                <w:b/>
                <w:sz w:val="20"/>
                <w:szCs w:val="20"/>
              </w:rPr>
              <w:t xml:space="preserve">Assessment and </w:t>
            </w:r>
            <w:r w:rsidR="002028A9" w:rsidRPr="00240401">
              <w:rPr>
                <w:b/>
                <w:sz w:val="20"/>
                <w:szCs w:val="20"/>
              </w:rPr>
              <w:t>education</w:t>
            </w:r>
            <w:r w:rsidR="002028A9" w:rsidRPr="00240401">
              <w:rPr>
                <w:sz w:val="20"/>
                <w:szCs w:val="20"/>
              </w:rPr>
              <w:t xml:space="preserve"> </w:t>
            </w:r>
            <w:r w:rsidRPr="00240401">
              <w:rPr>
                <w:sz w:val="20"/>
                <w:szCs w:val="20"/>
              </w:rPr>
              <w:t xml:space="preserve">– </w:t>
            </w:r>
            <w:r w:rsidR="00B43F91" w:rsidRPr="00240401">
              <w:rPr>
                <w:sz w:val="20"/>
                <w:szCs w:val="20"/>
              </w:rPr>
              <w:t>PCOC maintains</w:t>
            </w:r>
            <w:r w:rsidRPr="00240401">
              <w:rPr>
                <w:sz w:val="20"/>
                <w:szCs w:val="20"/>
              </w:rPr>
              <w:t xml:space="preserve"> five standardised and validated assessment tools to support systematic and routine assessment, measurement and reporting of patient-defined outcomes</w:t>
            </w:r>
            <w:r w:rsidR="00B43F91" w:rsidRPr="00240401">
              <w:rPr>
                <w:sz w:val="20"/>
                <w:szCs w:val="20"/>
              </w:rPr>
              <w:t xml:space="preserve"> in palliative care</w:t>
            </w:r>
            <w:r w:rsidRPr="00240401">
              <w:rPr>
                <w:sz w:val="20"/>
                <w:szCs w:val="20"/>
              </w:rPr>
              <w:t xml:space="preserve">. </w:t>
            </w:r>
            <w:r w:rsidR="00CC6085" w:rsidRPr="00240401">
              <w:rPr>
                <w:sz w:val="20"/>
                <w:szCs w:val="20"/>
              </w:rPr>
              <w:t>A suite of education workshops are offered for clinical, management and executive staff, with the majority of training</w:t>
            </w:r>
            <w:r w:rsidRPr="00240401">
              <w:rPr>
                <w:sz w:val="20"/>
                <w:szCs w:val="20"/>
              </w:rPr>
              <w:t xml:space="preserve"> provided by Quality Improvement Facilitators (QIFs)</w:t>
            </w:r>
            <w:r w:rsidR="00CC6085" w:rsidRPr="00240401">
              <w:rPr>
                <w:sz w:val="20"/>
                <w:szCs w:val="20"/>
              </w:rPr>
              <w:t xml:space="preserve">. This training aims to increase the use and embed </w:t>
            </w:r>
            <w:r w:rsidRPr="00240401">
              <w:rPr>
                <w:sz w:val="20"/>
                <w:szCs w:val="20"/>
              </w:rPr>
              <w:t>the assessment tools</w:t>
            </w:r>
            <w:r w:rsidR="00CC6085" w:rsidRPr="00240401">
              <w:rPr>
                <w:sz w:val="20"/>
                <w:szCs w:val="20"/>
              </w:rPr>
              <w:t xml:space="preserve"> into routine practice, facilitate more accurate reporting, and increase understanding of the use of </w:t>
            </w:r>
            <w:r w:rsidRPr="00240401">
              <w:rPr>
                <w:sz w:val="20"/>
                <w:szCs w:val="20"/>
              </w:rPr>
              <w:t>outcome measures</w:t>
            </w:r>
            <w:r w:rsidR="00CC6085" w:rsidRPr="00240401">
              <w:rPr>
                <w:sz w:val="20"/>
                <w:szCs w:val="20"/>
              </w:rPr>
              <w:t xml:space="preserve"> for quality improvement</w:t>
            </w:r>
            <w:r w:rsidRPr="00240401">
              <w:rPr>
                <w:sz w:val="20"/>
                <w:szCs w:val="20"/>
              </w:rPr>
              <w:t xml:space="preserve">. </w:t>
            </w:r>
          </w:p>
          <w:p w:rsidR="006C6EED" w:rsidRPr="00240401" w:rsidRDefault="006C6EED" w:rsidP="006C6EED">
            <w:pPr>
              <w:pStyle w:val="ListParagraph"/>
              <w:spacing w:before="40" w:after="40" w:line="240" w:lineRule="auto"/>
              <w:ind w:left="271" w:hanging="271"/>
              <w:rPr>
                <w:sz w:val="20"/>
                <w:szCs w:val="20"/>
              </w:rPr>
            </w:pPr>
          </w:p>
          <w:p w:rsidR="002028A9" w:rsidRDefault="005654D3" w:rsidP="006C6EED">
            <w:pPr>
              <w:pStyle w:val="ListParagraph"/>
              <w:numPr>
                <w:ilvl w:val="0"/>
                <w:numId w:val="8"/>
              </w:numPr>
              <w:spacing w:before="40" w:after="40" w:line="240" w:lineRule="auto"/>
              <w:ind w:left="271" w:hanging="271"/>
              <w:rPr>
                <w:sz w:val="20"/>
                <w:szCs w:val="20"/>
              </w:rPr>
            </w:pPr>
            <w:r w:rsidRPr="00240401">
              <w:rPr>
                <w:b/>
                <w:sz w:val="20"/>
                <w:szCs w:val="20"/>
              </w:rPr>
              <w:t>Dataset, database and reporting</w:t>
            </w:r>
            <w:r w:rsidRPr="00240401">
              <w:rPr>
                <w:sz w:val="20"/>
                <w:szCs w:val="20"/>
              </w:rPr>
              <w:t xml:space="preserve"> </w:t>
            </w:r>
            <w:r w:rsidR="002272F1" w:rsidRPr="00240401">
              <w:rPr>
                <w:sz w:val="20"/>
                <w:szCs w:val="20"/>
              </w:rPr>
              <w:t>–</w:t>
            </w:r>
            <w:r w:rsidRPr="00240401">
              <w:rPr>
                <w:sz w:val="20"/>
                <w:szCs w:val="20"/>
              </w:rPr>
              <w:t xml:space="preserve"> </w:t>
            </w:r>
            <w:r w:rsidR="002272F1" w:rsidRPr="00240401">
              <w:rPr>
                <w:sz w:val="20"/>
                <w:szCs w:val="20"/>
              </w:rPr>
              <w:t xml:space="preserve">A suite of reports are produced </w:t>
            </w:r>
            <w:r w:rsidRPr="00240401">
              <w:rPr>
                <w:sz w:val="20"/>
                <w:szCs w:val="20"/>
              </w:rPr>
              <w:t>within a six-monthly cycle on four outcome measures and 16 benchmarks</w:t>
            </w:r>
            <w:r w:rsidR="002272F1" w:rsidRPr="00240401">
              <w:rPr>
                <w:sz w:val="20"/>
                <w:szCs w:val="20"/>
              </w:rPr>
              <w:t xml:space="preserve"> including </w:t>
            </w:r>
            <w:r w:rsidR="00650BE0">
              <w:rPr>
                <w:sz w:val="20"/>
                <w:szCs w:val="20"/>
              </w:rPr>
              <w:t xml:space="preserve">approximately 125 </w:t>
            </w:r>
            <w:r w:rsidR="002272F1" w:rsidRPr="00240401">
              <w:rPr>
                <w:sz w:val="20"/>
                <w:szCs w:val="20"/>
              </w:rPr>
              <w:t>service, state and national reports</w:t>
            </w:r>
            <w:r w:rsidRPr="00240401">
              <w:rPr>
                <w:sz w:val="20"/>
                <w:szCs w:val="20"/>
              </w:rPr>
              <w:t>. QIFs provide on-site service visits twice yearly to support services to effectively understand and use data reports to support best practice clinical care in line with patient needs, and improvement activities. PCOC statisticians also provide assistance with interpretation of data and advice regarding IT requirements to support PCOC assessments and reporting.</w:t>
            </w:r>
            <w:r w:rsidR="00CC6085" w:rsidRPr="00240401">
              <w:rPr>
                <w:sz w:val="20"/>
                <w:szCs w:val="20"/>
              </w:rPr>
              <w:t xml:space="preserve"> </w:t>
            </w:r>
          </w:p>
          <w:p w:rsidR="006C6EED" w:rsidRPr="00240401" w:rsidRDefault="006C6EED" w:rsidP="006C6EED">
            <w:pPr>
              <w:pStyle w:val="ListParagraph"/>
              <w:spacing w:before="40" w:after="40" w:line="240" w:lineRule="auto"/>
              <w:ind w:left="271" w:hanging="271"/>
              <w:rPr>
                <w:sz w:val="20"/>
                <w:szCs w:val="20"/>
              </w:rPr>
            </w:pPr>
          </w:p>
          <w:p w:rsidR="006C6EED" w:rsidRDefault="005654D3" w:rsidP="006C6EED">
            <w:pPr>
              <w:pStyle w:val="ListParagraph"/>
              <w:numPr>
                <w:ilvl w:val="0"/>
                <w:numId w:val="8"/>
              </w:numPr>
              <w:spacing w:before="40" w:after="40" w:line="240" w:lineRule="auto"/>
              <w:ind w:left="271" w:hanging="271"/>
              <w:rPr>
                <w:sz w:val="20"/>
                <w:szCs w:val="20"/>
              </w:rPr>
            </w:pPr>
            <w:r w:rsidRPr="00240401">
              <w:rPr>
                <w:b/>
                <w:sz w:val="20"/>
                <w:szCs w:val="20"/>
              </w:rPr>
              <w:t>Benchmarking and Quality Improvement</w:t>
            </w:r>
            <w:r w:rsidRPr="00240401">
              <w:rPr>
                <w:sz w:val="20"/>
                <w:szCs w:val="20"/>
              </w:rPr>
              <w:t xml:space="preserve"> – </w:t>
            </w:r>
            <w:r w:rsidR="00B43F91" w:rsidRPr="00240401">
              <w:rPr>
                <w:sz w:val="20"/>
                <w:szCs w:val="20"/>
              </w:rPr>
              <w:t xml:space="preserve">PCOC conducts annual benchmarking workshops where </w:t>
            </w:r>
            <w:r w:rsidRPr="00240401">
              <w:rPr>
                <w:sz w:val="20"/>
                <w:szCs w:val="20"/>
              </w:rPr>
              <w:t>eligible participating services</w:t>
            </w:r>
            <w:r w:rsidR="00B43F91" w:rsidRPr="00240401">
              <w:rPr>
                <w:sz w:val="20"/>
                <w:szCs w:val="20"/>
              </w:rPr>
              <w:t xml:space="preserve"> </w:t>
            </w:r>
            <w:r w:rsidRPr="00240401">
              <w:rPr>
                <w:sz w:val="20"/>
                <w:szCs w:val="20"/>
              </w:rPr>
              <w:t xml:space="preserve">are provided with longitudinal and comparative data to allow them to share best practice strategies, challenges and successes. </w:t>
            </w:r>
            <w:r w:rsidR="00881D4E" w:rsidRPr="00240401">
              <w:rPr>
                <w:sz w:val="20"/>
                <w:szCs w:val="20"/>
              </w:rPr>
              <w:t>Since 2008 the number of palliative care services across Australia participating in national benchmarking has increased from 54 to 115.</w:t>
            </w:r>
            <w:r w:rsidR="002272F1" w:rsidRPr="00240401">
              <w:rPr>
                <w:sz w:val="20"/>
                <w:szCs w:val="20"/>
              </w:rPr>
              <w:t xml:space="preserve"> </w:t>
            </w:r>
          </w:p>
          <w:p w:rsidR="006C6EED" w:rsidRPr="006C6EED" w:rsidRDefault="006C6EED" w:rsidP="006C6EED">
            <w:pPr>
              <w:pStyle w:val="ListParagraph"/>
              <w:spacing w:before="40" w:after="40" w:line="240" w:lineRule="auto"/>
              <w:ind w:left="271" w:hanging="271"/>
              <w:rPr>
                <w:sz w:val="20"/>
                <w:szCs w:val="20"/>
              </w:rPr>
            </w:pPr>
          </w:p>
          <w:p w:rsidR="0030138A" w:rsidRPr="006C6EED" w:rsidRDefault="005654D3" w:rsidP="006C6EED">
            <w:pPr>
              <w:pStyle w:val="ListParagraph"/>
              <w:numPr>
                <w:ilvl w:val="0"/>
                <w:numId w:val="8"/>
              </w:numPr>
              <w:spacing w:before="40" w:after="40" w:line="240" w:lineRule="auto"/>
              <w:ind w:left="271" w:hanging="271"/>
              <w:rPr>
                <w:sz w:val="20"/>
                <w:szCs w:val="20"/>
              </w:rPr>
            </w:pPr>
            <w:r w:rsidRPr="00240401">
              <w:rPr>
                <w:b/>
                <w:sz w:val="20"/>
                <w:szCs w:val="20"/>
              </w:rPr>
              <w:t>Res</w:t>
            </w:r>
            <w:r w:rsidR="006C6EED">
              <w:rPr>
                <w:b/>
                <w:sz w:val="20"/>
                <w:szCs w:val="20"/>
              </w:rPr>
              <w:t>e</w:t>
            </w:r>
            <w:r w:rsidRPr="00240401">
              <w:rPr>
                <w:b/>
                <w:sz w:val="20"/>
                <w:szCs w:val="20"/>
              </w:rPr>
              <w:t>arch</w:t>
            </w:r>
            <w:r w:rsidRPr="00240401">
              <w:rPr>
                <w:sz w:val="20"/>
                <w:szCs w:val="20"/>
              </w:rPr>
              <w:t xml:space="preserve"> </w:t>
            </w:r>
            <w:r w:rsidR="00AA6054" w:rsidRPr="00240401">
              <w:rPr>
                <w:sz w:val="20"/>
                <w:szCs w:val="20"/>
              </w:rPr>
              <w:t xml:space="preserve">– </w:t>
            </w:r>
            <w:r w:rsidRPr="00240401">
              <w:rPr>
                <w:sz w:val="20"/>
                <w:szCs w:val="20"/>
              </w:rPr>
              <w:t>PCOC disseminates information about the importance and effectiveness of a national approach for the measurement, reporting and benchmarking in the palliative care sector in line with a research</w:t>
            </w:r>
            <w:bookmarkStart w:id="0" w:name="_GoBack"/>
            <w:bookmarkEnd w:id="0"/>
            <w:r w:rsidRPr="00240401">
              <w:rPr>
                <w:sz w:val="20"/>
                <w:szCs w:val="20"/>
              </w:rPr>
              <w:t xml:space="preserve"> plan that supports both investigator and priority driven resea</w:t>
            </w:r>
            <w:r w:rsidR="00240401">
              <w:rPr>
                <w:sz w:val="20"/>
                <w:szCs w:val="20"/>
              </w:rPr>
              <w:t xml:space="preserve">rch. </w:t>
            </w:r>
          </w:p>
        </w:tc>
      </w:tr>
      <w:tr w:rsidR="000E75B3" w:rsidRPr="000E75B3" w:rsidTr="006C6EED">
        <w:trPr>
          <w:cantSplit/>
          <w:trHeight w:hRule="exact" w:val="2691"/>
        </w:trPr>
        <w:tc>
          <w:tcPr>
            <w:tcW w:w="631" w:type="pct"/>
            <w:tcBorders>
              <w:right w:val="single" w:sz="4" w:space="0" w:color="auto"/>
            </w:tcBorders>
          </w:tcPr>
          <w:p w:rsidR="00A365AC" w:rsidRPr="006C6EED" w:rsidRDefault="003E24DC" w:rsidP="006C6EED">
            <w:pPr>
              <w:spacing w:before="40" w:after="40" w:line="240" w:lineRule="auto"/>
              <w:rPr>
                <w:b/>
                <w:sz w:val="24"/>
                <w:szCs w:val="24"/>
              </w:rPr>
            </w:pPr>
            <w:r w:rsidRPr="006C6EED">
              <w:rPr>
                <w:b/>
                <w:sz w:val="24"/>
                <w:szCs w:val="24"/>
              </w:rPr>
              <w:t>Target audience</w:t>
            </w:r>
          </w:p>
        </w:tc>
        <w:tc>
          <w:tcPr>
            <w:tcW w:w="4369" w:type="pct"/>
            <w:tcBorders>
              <w:left w:val="single" w:sz="4" w:space="0" w:color="auto"/>
            </w:tcBorders>
          </w:tcPr>
          <w:p w:rsidR="002028A9" w:rsidRDefault="00240401" w:rsidP="006C6EED">
            <w:pPr>
              <w:spacing w:before="40" w:after="40" w:line="240" w:lineRule="auto"/>
              <w:rPr>
                <w:sz w:val="20"/>
                <w:szCs w:val="20"/>
              </w:rPr>
            </w:pPr>
            <w:r w:rsidRPr="006F3E44">
              <w:rPr>
                <w:sz w:val="20"/>
                <w:szCs w:val="20"/>
              </w:rPr>
              <w:t xml:space="preserve">Clinical, management and executive </w:t>
            </w:r>
            <w:r>
              <w:rPr>
                <w:sz w:val="20"/>
                <w:szCs w:val="20"/>
              </w:rPr>
              <w:t xml:space="preserve">staff from </w:t>
            </w:r>
            <w:r w:rsidR="002028A9">
              <w:rPr>
                <w:sz w:val="20"/>
                <w:szCs w:val="20"/>
              </w:rPr>
              <w:t xml:space="preserve">inpatient, consultation and community </w:t>
            </w:r>
            <w:r w:rsidR="00336FB8">
              <w:rPr>
                <w:sz w:val="20"/>
                <w:szCs w:val="20"/>
              </w:rPr>
              <w:t>palliative</w:t>
            </w:r>
            <w:r>
              <w:rPr>
                <w:sz w:val="20"/>
                <w:szCs w:val="20"/>
              </w:rPr>
              <w:t xml:space="preserve"> care service</w:t>
            </w:r>
            <w:r w:rsidR="002028A9">
              <w:rPr>
                <w:sz w:val="20"/>
                <w:szCs w:val="20"/>
              </w:rPr>
              <w:t xml:space="preserve">s. </w:t>
            </w:r>
          </w:p>
          <w:p w:rsidR="00240401" w:rsidRPr="006F3E44" w:rsidRDefault="00864FF2" w:rsidP="006C6EED">
            <w:pPr>
              <w:spacing w:before="40" w:after="40" w:line="240" w:lineRule="auto"/>
              <w:rPr>
                <w:sz w:val="20"/>
                <w:szCs w:val="20"/>
              </w:rPr>
            </w:pPr>
            <w:r>
              <w:rPr>
                <w:sz w:val="20"/>
                <w:szCs w:val="20"/>
              </w:rPr>
              <w:t xml:space="preserve">Jurisdictional key stakeholders such as state health departments; clinical networks. </w:t>
            </w:r>
          </w:p>
        </w:tc>
      </w:tr>
      <w:tr w:rsidR="000E75B3" w:rsidRPr="000E75B3" w:rsidTr="006C6EED">
        <w:trPr>
          <w:trHeight w:hRule="exact" w:val="8798"/>
        </w:trPr>
        <w:tc>
          <w:tcPr>
            <w:tcW w:w="631" w:type="pct"/>
            <w:tcBorders>
              <w:bottom w:val="single" w:sz="4" w:space="0" w:color="auto"/>
              <w:right w:val="single" w:sz="4" w:space="0" w:color="auto"/>
            </w:tcBorders>
          </w:tcPr>
          <w:p w:rsidR="000E75B3" w:rsidRPr="006C6EED" w:rsidRDefault="003E24DC" w:rsidP="006C6EED">
            <w:pPr>
              <w:spacing w:before="40" w:after="40" w:line="240" w:lineRule="auto"/>
              <w:rPr>
                <w:b/>
                <w:sz w:val="24"/>
                <w:szCs w:val="24"/>
              </w:rPr>
            </w:pPr>
            <w:r w:rsidRPr="006C6EED">
              <w:rPr>
                <w:sz w:val="24"/>
                <w:szCs w:val="24"/>
              </w:rPr>
              <w:lastRenderedPageBreak/>
              <w:br w:type="page"/>
            </w:r>
            <w:r w:rsidRPr="006C6EED">
              <w:rPr>
                <w:b/>
                <w:sz w:val="24"/>
                <w:szCs w:val="24"/>
              </w:rPr>
              <w:t>Outcomes to date</w:t>
            </w:r>
          </w:p>
        </w:tc>
        <w:tc>
          <w:tcPr>
            <w:tcW w:w="4369" w:type="pct"/>
            <w:tcBorders>
              <w:left w:val="single" w:sz="4" w:space="0" w:color="auto"/>
              <w:bottom w:val="single" w:sz="4" w:space="0" w:color="auto"/>
            </w:tcBorders>
          </w:tcPr>
          <w:p w:rsidR="00A13285" w:rsidRDefault="00A13285" w:rsidP="006C6EED">
            <w:pPr>
              <w:pStyle w:val="Default"/>
              <w:numPr>
                <w:ilvl w:val="0"/>
                <w:numId w:val="9"/>
              </w:numPr>
              <w:spacing w:before="40" w:after="40"/>
              <w:ind w:left="271" w:hanging="271"/>
              <w:rPr>
                <w:sz w:val="20"/>
                <w:szCs w:val="20"/>
              </w:rPr>
            </w:pPr>
            <w:r w:rsidRPr="006F3E44">
              <w:rPr>
                <w:sz w:val="20"/>
                <w:szCs w:val="20"/>
              </w:rPr>
              <w:t>PCOC</w:t>
            </w:r>
            <w:r w:rsidR="00F747D7" w:rsidRPr="006F3E44">
              <w:rPr>
                <w:sz w:val="20"/>
                <w:szCs w:val="20"/>
              </w:rPr>
              <w:t xml:space="preserve"> assessment framework</w:t>
            </w:r>
            <w:r w:rsidRPr="006F3E44">
              <w:rPr>
                <w:sz w:val="20"/>
                <w:szCs w:val="20"/>
              </w:rPr>
              <w:t xml:space="preserve"> has </w:t>
            </w:r>
            <w:r w:rsidR="00F747D7" w:rsidRPr="006F3E44">
              <w:rPr>
                <w:sz w:val="20"/>
                <w:szCs w:val="20"/>
              </w:rPr>
              <w:t xml:space="preserve">provided </w:t>
            </w:r>
            <w:r w:rsidRPr="006F3E44">
              <w:rPr>
                <w:sz w:val="20"/>
                <w:szCs w:val="20"/>
              </w:rPr>
              <w:t>a new common language for rapidly describing the</w:t>
            </w:r>
            <w:r w:rsidR="00F747D7" w:rsidRPr="006F3E44">
              <w:rPr>
                <w:sz w:val="20"/>
                <w:szCs w:val="20"/>
              </w:rPr>
              <w:t xml:space="preserve"> condition </w:t>
            </w:r>
            <w:r w:rsidRPr="006F3E44">
              <w:rPr>
                <w:sz w:val="20"/>
                <w:szCs w:val="20"/>
              </w:rPr>
              <w:t>of individual patients</w:t>
            </w:r>
            <w:r w:rsidR="00F747D7" w:rsidRPr="006F3E44">
              <w:rPr>
                <w:sz w:val="20"/>
                <w:szCs w:val="20"/>
              </w:rPr>
              <w:t>. This is done in consultation with patients and their families and / or carers.</w:t>
            </w:r>
          </w:p>
          <w:p w:rsidR="00EC251B" w:rsidRPr="00EB5FB8" w:rsidRDefault="00EB5FB8" w:rsidP="006C6EED">
            <w:pPr>
              <w:pStyle w:val="Default"/>
              <w:numPr>
                <w:ilvl w:val="0"/>
                <w:numId w:val="9"/>
              </w:numPr>
              <w:spacing w:before="40" w:after="40"/>
              <w:ind w:left="271" w:hanging="271"/>
              <w:rPr>
                <w:sz w:val="20"/>
                <w:szCs w:val="20"/>
              </w:rPr>
            </w:pPr>
            <w:r w:rsidRPr="00EB5FB8">
              <w:rPr>
                <w:sz w:val="20"/>
                <w:szCs w:val="20"/>
              </w:rPr>
              <w:t>E</w:t>
            </w:r>
            <w:r w:rsidR="00EC251B" w:rsidRPr="00EB5FB8">
              <w:rPr>
                <w:sz w:val="20"/>
                <w:szCs w:val="20"/>
              </w:rPr>
              <w:t xml:space="preserve">ducation </w:t>
            </w:r>
            <w:r w:rsidRPr="00EB5FB8">
              <w:rPr>
                <w:sz w:val="20"/>
                <w:szCs w:val="20"/>
              </w:rPr>
              <w:t>program includes Fundamental workshops, medical and executive officers sessions; one site education sessions and other education activities. In the July to December 2015 period</w:t>
            </w:r>
            <w:r>
              <w:rPr>
                <w:sz w:val="20"/>
                <w:szCs w:val="20"/>
              </w:rPr>
              <w:t>,</w:t>
            </w:r>
            <w:r w:rsidRPr="00EB5FB8">
              <w:rPr>
                <w:sz w:val="20"/>
                <w:szCs w:val="20"/>
              </w:rPr>
              <w:t xml:space="preserve"> PCOC conducted 12 Fundamental workshops, six medical and executive officers sessions, </w:t>
            </w:r>
            <w:r w:rsidRPr="00EB5FB8">
              <w:rPr>
                <w:rFonts w:cstheme="minorHAnsi"/>
                <w:sz w:val="20"/>
                <w:szCs w:val="20"/>
              </w:rPr>
              <w:t>59 education sessions were conducted onsite education as part of post report support visits and 15 sessions on separate to post report support.</w:t>
            </w:r>
          </w:p>
          <w:p w:rsidR="00650BE0" w:rsidRPr="00650BE0" w:rsidRDefault="00650BE0" w:rsidP="006C6EED">
            <w:pPr>
              <w:pStyle w:val="Default"/>
              <w:numPr>
                <w:ilvl w:val="0"/>
                <w:numId w:val="9"/>
              </w:numPr>
              <w:spacing w:before="40" w:after="40"/>
              <w:ind w:left="271" w:hanging="271"/>
              <w:rPr>
                <w:sz w:val="20"/>
                <w:szCs w:val="20"/>
              </w:rPr>
            </w:pPr>
            <w:r w:rsidRPr="009A3D6A">
              <w:rPr>
                <w:sz w:val="20"/>
                <w:szCs w:val="20"/>
              </w:rPr>
              <w:t>In 2015 QIFs conducted over 200 site visits to serv</w:t>
            </w:r>
            <w:r w:rsidRPr="00650BE0">
              <w:rPr>
                <w:sz w:val="20"/>
                <w:szCs w:val="20"/>
              </w:rPr>
              <w:t>ices across Australia.</w:t>
            </w:r>
          </w:p>
          <w:p w:rsidR="00675ABB" w:rsidRPr="00650BE0" w:rsidRDefault="00675ABB" w:rsidP="006C6EED">
            <w:pPr>
              <w:pStyle w:val="Default"/>
              <w:numPr>
                <w:ilvl w:val="0"/>
                <w:numId w:val="9"/>
              </w:numPr>
              <w:spacing w:before="40" w:after="40"/>
              <w:ind w:left="271" w:hanging="271"/>
              <w:rPr>
                <w:sz w:val="20"/>
                <w:szCs w:val="20"/>
              </w:rPr>
            </w:pPr>
            <w:r w:rsidRPr="00650BE0">
              <w:rPr>
                <w:sz w:val="20"/>
                <w:szCs w:val="20"/>
              </w:rPr>
              <w:t>The current 14 outcome measures and benchmarks were revised and six new outcome measures and benchmarks adopted.</w:t>
            </w:r>
          </w:p>
          <w:p w:rsidR="009A3D6A" w:rsidRDefault="00A13285" w:rsidP="006C6EED">
            <w:pPr>
              <w:pStyle w:val="Default"/>
              <w:numPr>
                <w:ilvl w:val="0"/>
                <w:numId w:val="9"/>
              </w:numPr>
              <w:spacing w:before="40" w:after="40"/>
              <w:ind w:left="271" w:hanging="271"/>
              <w:rPr>
                <w:sz w:val="20"/>
                <w:szCs w:val="20"/>
              </w:rPr>
            </w:pPr>
            <w:r w:rsidRPr="009A3D6A">
              <w:rPr>
                <w:sz w:val="20"/>
                <w:szCs w:val="20"/>
              </w:rPr>
              <w:t>115 services</w:t>
            </w:r>
            <w:r w:rsidR="006F3E44" w:rsidRPr="009A3D6A">
              <w:rPr>
                <w:sz w:val="20"/>
                <w:szCs w:val="20"/>
              </w:rPr>
              <w:t xml:space="preserve"> across Australia</w:t>
            </w:r>
            <w:r w:rsidRPr="009A3D6A">
              <w:rPr>
                <w:sz w:val="20"/>
                <w:szCs w:val="20"/>
              </w:rPr>
              <w:t xml:space="preserve"> currently</w:t>
            </w:r>
            <w:r w:rsidR="006F3E44" w:rsidRPr="009A3D6A">
              <w:rPr>
                <w:sz w:val="20"/>
                <w:szCs w:val="20"/>
              </w:rPr>
              <w:t xml:space="preserve"> participate in national benchmarking</w:t>
            </w:r>
            <w:r w:rsidRPr="009A3D6A">
              <w:rPr>
                <w:sz w:val="20"/>
                <w:szCs w:val="20"/>
              </w:rPr>
              <w:t>. These services have provided more than 24,000 episodes of care and 56,000 phases for 19,000 patients</w:t>
            </w:r>
            <w:r w:rsidR="00B571E5" w:rsidRPr="009A3D6A">
              <w:rPr>
                <w:sz w:val="20"/>
                <w:szCs w:val="20"/>
              </w:rPr>
              <w:t xml:space="preserve"> every six months</w:t>
            </w:r>
            <w:r w:rsidRPr="009A3D6A">
              <w:rPr>
                <w:sz w:val="20"/>
                <w:szCs w:val="20"/>
              </w:rPr>
              <w:t>.</w:t>
            </w:r>
            <w:r w:rsidR="00B571E5" w:rsidRPr="009A3D6A">
              <w:rPr>
                <w:sz w:val="20"/>
                <w:szCs w:val="20"/>
              </w:rPr>
              <w:t xml:space="preserve"> </w:t>
            </w:r>
          </w:p>
          <w:p w:rsidR="00650BE0" w:rsidRPr="00650BE0" w:rsidRDefault="00650BE0" w:rsidP="006C6EED">
            <w:pPr>
              <w:pStyle w:val="Default"/>
              <w:numPr>
                <w:ilvl w:val="0"/>
                <w:numId w:val="9"/>
              </w:numPr>
              <w:spacing w:before="40" w:after="40"/>
              <w:ind w:left="271" w:hanging="271"/>
              <w:rPr>
                <w:sz w:val="20"/>
                <w:szCs w:val="20"/>
              </w:rPr>
            </w:pPr>
            <w:r w:rsidRPr="00650BE0">
              <w:rPr>
                <w:sz w:val="20"/>
                <w:szCs w:val="20"/>
              </w:rPr>
              <w:t xml:space="preserve">Three benchmarking workshops were held 2015 with one for consultation / liaison services and two for inpatient services. </w:t>
            </w:r>
          </w:p>
          <w:p w:rsidR="00A13285" w:rsidRPr="006F3E44" w:rsidRDefault="00A13285" w:rsidP="006C6EED">
            <w:pPr>
              <w:pStyle w:val="Default"/>
              <w:numPr>
                <w:ilvl w:val="0"/>
                <w:numId w:val="9"/>
              </w:numPr>
              <w:spacing w:before="40" w:after="40"/>
              <w:ind w:left="271" w:hanging="271"/>
              <w:rPr>
                <w:sz w:val="20"/>
                <w:szCs w:val="20"/>
              </w:rPr>
            </w:pPr>
            <w:r w:rsidRPr="006F3E44">
              <w:rPr>
                <w:sz w:val="20"/>
                <w:szCs w:val="20"/>
              </w:rPr>
              <w:t>The ‘time ready for care to episode start’ measure is an indicator of responsiveness of care. Nationally services have improved on this measure, from 87% to 91% over the last two-year period.</w:t>
            </w:r>
          </w:p>
          <w:p w:rsidR="00A13285" w:rsidRPr="006F3E44" w:rsidRDefault="00A13285" w:rsidP="006C6EED">
            <w:pPr>
              <w:pStyle w:val="Default"/>
              <w:numPr>
                <w:ilvl w:val="0"/>
                <w:numId w:val="9"/>
              </w:numPr>
              <w:spacing w:before="40" w:after="40"/>
              <w:ind w:left="271" w:hanging="271"/>
              <w:rPr>
                <w:sz w:val="20"/>
                <w:szCs w:val="20"/>
              </w:rPr>
            </w:pPr>
            <w:r w:rsidRPr="006F3E44">
              <w:rPr>
                <w:sz w:val="20"/>
                <w:szCs w:val="20"/>
              </w:rPr>
              <w:t>Only 55% of unstable phases lasted for three days or less in 2010 and this percentage has increased (improved) to around 83% in 2015.</w:t>
            </w:r>
          </w:p>
          <w:p w:rsidR="00A13285" w:rsidRPr="006F3E44" w:rsidRDefault="00A13285" w:rsidP="006C6EED">
            <w:pPr>
              <w:pStyle w:val="Default"/>
              <w:numPr>
                <w:ilvl w:val="0"/>
                <w:numId w:val="9"/>
              </w:numPr>
              <w:spacing w:before="40" w:after="40"/>
              <w:ind w:left="271" w:hanging="271"/>
              <w:rPr>
                <w:sz w:val="20"/>
                <w:szCs w:val="20"/>
              </w:rPr>
            </w:pPr>
            <w:r w:rsidRPr="006F3E44">
              <w:rPr>
                <w:sz w:val="20"/>
                <w:szCs w:val="20"/>
              </w:rPr>
              <w:t>The percentage of patients with absent or mild distress from pain at both phase start and end has improved nationally from 78% in 2010 to 85% in 2015.</w:t>
            </w:r>
          </w:p>
          <w:p w:rsidR="00A13285" w:rsidRPr="004A178B" w:rsidRDefault="00A13285" w:rsidP="006C6EED">
            <w:pPr>
              <w:pStyle w:val="Default"/>
              <w:numPr>
                <w:ilvl w:val="0"/>
                <w:numId w:val="9"/>
              </w:numPr>
              <w:spacing w:before="40" w:after="40"/>
              <w:ind w:left="271" w:hanging="271"/>
              <w:rPr>
                <w:sz w:val="20"/>
                <w:szCs w:val="20"/>
              </w:rPr>
            </w:pPr>
            <w:r w:rsidRPr="006F3E44">
              <w:rPr>
                <w:sz w:val="20"/>
                <w:szCs w:val="20"/>
              </w:rPr>
              <w:t>Results for ‘bowel problems’ have improved from 61% in 2010 to 72% in 2015.</w:t>
            </w:r>
          </w:p>
          <w:p w:rsidR="000F22A9" w:rsidRPr="004A178B" w:rsidRDefault="009A3D6A" w:rsidP="006C6EED">
            <w:pPr>
              <w:pStyle w:val="Default"/>
              <w:numPr>
                <w:ilvl w:val="0"/>
                <w:numId w:val="9"/>
              </w:numPr>
              <w:spacing w:before="40" w:after="40"/>
              <w:ind w:left="271" w:hanging="271"/>
              <w:rPr>
                <w:sz w:val="20"/>
                <w:szCs w:val="20"/>
              </w:rPr>
            </w:pPr>
            <w:r>
              <w:rPr>
                <w:sz w:val="20"/>
                <w:szCs w:val="20"/>
              </w:rPr>
              <w:t xml:space="preserve">PCOC </w:t>
            </w:r>
            <w:r w:rsidR="000F22A9">
              <w:rPr>
                <w:sz w:val="20"/>
                <w:szCs w:val="20"/>
              </w:rPr>
              <w:t xml:space="preserve">presented at </w:t>
            </w:r>
            <w:r>
              <w:rPr>
                <w:sz w:val="20"/>
                <w:szCs w:val="20"/>
              </w:rPr>
              <w:t>three</w:t>
            </w:r>
            <w:r w:rsidR="000F22A9">
              <w:rPr>
                <w:sz w:val="20"/>
                <w:szCs w:val="20"/>
              </w:rPr>
              <w:t xml:space="preserve"> national </w:t>
            </w:r>
            <w:r>
              <w:rPr>
                <w:sz w:val="20"/>
                <w:szCs w:val="20"/>
              </w:rPr>
              <w:t>conferences</w:t>
            </w:r>
            <w:r w:rsidR="00650BE0">
              <w:rPr>
                <w:sz w:val="20"/>
                <w:szCs w:val="20"/>
              </w:rPr>
              <w:t>, one state</w:t>
            </w:r>
            <w:r>
              <w:rPr>
                <w:sz w:val="20"/>
                <w:szCs w:val="20"/>
              </w:rPr>
              <w:t xml:space="preserve"> </w:t>
            </w:r>
            <w:r w:rsidR="000F22A9">
              <w:rPr>
                <w:sz w:val="20"/>
                <w:szCs w:val="20"/>
              </w:rPr>
              <w:t xml:space="preserve">and </w:t>
            </w:r>
            <w:r>
              <w:rPr>
                <w:sz w:val="20"/>
                <w:szCs w:val="20"/>
              </w:rPr>
              <w:t xml:space="preserve">one </w:t>
            </w:r>
            <w:r w:rsidR="000F22A9">
              <w:rPr>
                <w:sz w:val="20"/>
                <w:szCs w:val="20"/>
              </w:rPr>
              <w:t>international conference in 2015.</w:t>
            </w:r>
          </w:p>
          <w:p w:rsidR="000F22A9" w:rsidRPr="004A178B" w:rsidRDefault="002272F1" w:rsidP="006C6EED">
            <w:pPr>
              <w:pStyle w:val="Default"/>
              <w:numPr>
                <w:ilvl w:val="0"/>
                <w:numId w:val="9"/>
              </w:numPr>
              <w:spacing w:before="40" w:after="40"/>
              <w:ind w:left="271" w:hanging="271"/>
              <w:rPr>
                <w:sz w:val="20"/>
                <w:szCs w:val="20"/>
              </w:rPr>
            </w:pPr>
            <w:r>
              <w:rPr>
                <w:sz w:val="20"/>
                <w:szCs w:val="20"/>
              </w:rPr>
              <w:t>Si</w:t>
            </w:r>
            <w:r w:rsidRPr="004A178B">
              <w:rPr>
                <w:sz w:val="20"/>
                <w:szCs w:val="20"/>
              </w:rPr>
              <w:t xml:space="preserve">x </w:t>
            </w:r>
            <w:r w:rsidR="000F22A9" w:rsidRPr="004A178B">
              <w:rPr>
                <w:sz w:val="20"/>
                <w:szCs w:val="20"/>
              </w:rPr>
              <w:t>journal articles</w:t>
            </w:r>
            <w:r w:rsidRPr="004A178B">
              <w:rPr>
                <w:sz w:val="20"/>
                <w:szCs w:val="20"/>
              </w:rPr>
              <w:t xml:space="preserve"> </w:t>
            </w:r>
            <w:r w:rsidR="009A3D6A" w:rsidRPr="004A178B">
              <w:rPr>
                <w:sz w:val="20"/>
                <w:szCs w:val="20"/>
              </w:rPr>
              <w:t xml:space="preserve">produced by PCOC </w:t>
            </w:r>
            <w:r w:rsidRPr="004A178B">
              <w:rPr>
                <w:sz w:val="20"/>
                <w:szCs w:val="20"/>
              </w:rPr>
              <w:t>were published in 2015.</w:t>
            </w:r>
          </w:p>
          <w:p w:rsidR="004A178B" w:rsidRPr="004A178B" w:rsidRDefault="004A178B" w:rsidP="006C6EED">
            <w:pPr>
              <w:pStyle w:val="Default"/>
              <w:numPr>
                <w:ilvl w:val="0"/>
                <w:numId w:val="9"/>
              </w:numPr>
              <w:spacing w:before="40" w:after="40"/>
              <w:ind w:left="271" w:hanging="271"/>
              <w:rPr>
                <w:sz w:val="20"/>
                <w:szCs w:val="20"/>
              </w:rPr>
            </w:pPr>
            <w:r w:rsidRPr="004A178B">
              <w:rPr>
                <w:sz w:val="20"/>
                <w:szCs w:val="20"/>
              </w:rPr>
              <w:t>National longitudinal database being utilised by research undertaken as part of the NHMRC Centre of Research Excellence in End of Life Care.</w:t>
            </w:r>
          </w:p>
          <w:p w:rsidR="004A178B" w:rsidRPr="004A178B" w:rsidRDefault="004A178B" w:rsidP="006C6EED">
            <w:pPr>
              <w:pStyle w:val="Default"/>
              <w:numPr>
                <w:ilvl w:val="0"/>
                <w:numId w:val="9"/>
              </w:numPr>
              <w:spacing w:before="40" w:after="40"/>
              <w:ind w:left="271" w:hanging="271"/>
              <w:rPr>
                <w:sz w:val="20"/>
                <w:szCs w:val="20"/>
              </w:rPr>
            </w:pPr>
            <w:r w:rsidRPr="004A178B">
              <w:rPr>
                <w:sz w:val="20"/>
                <w:szCs w:val="20"/>
              </w:rPr>
              <w:t>PCOC continues to support the AIHW’s annual Palliative Care Services in Australia series, b</w:t>
            </w:r>
            <w:r>
              <w:rPr>
                <w:sz w:val="20"/>
                <w:szCs w:val="20"/>
              </w:rPr>
              <w:t>y</w:t>
            </w:r>
            <w:r w:rsidRPr="004A178B">
              <w:rPr>
                <w:sz w:val="20"/>
                <w:szCs w:val="20"/>
              </w:rPr>
              <w:t xml:space="preserve"> providing information on patient outcomes</w:t>
            </w:r>
            <w:r>
              <w:rPr>
                <w:sz w:val="20"/>
                <w:szCs w:val="20"/>
              </w:rPr>
              <w:t>.</w:t>
            </w:r>
            <w:r w:rsidRPr="004A178B">
              <w:rPr>
                <w:sz w:val="20"/>
                <w:szCs w:val="20"/>
              </w:rPr>
              <w:t xml:space="preserve"> </w:t>
            </w:r>
          </w:p>
          <w:p w:rsidR="00650BE0" w:rsidRDefault="00650BE0" w:rsidP="006C6EED">
            <w:pPr>
              <w:pStyle w:val="ListParagraph"/>
              <w:numPr>
                <w:ilvl w:val="0"/>
                <w:numId w:val="9"/>
              </w:numPr>
              <w:spacing w:before="40" w:after="40" w:line="240" w:lineRule="auto"/>
              <w:ind w:left="271" w:hanging="271"/>
              <w:contextualSpacing w:val="0"/>
              <w:rPr>
                <w:rFonts w:ascii="Calibri" w:hAnsi="Calibri" w:cs="Calibri"/>
                <w:color w:val="000000"/>
                <w:sz w:val="20"/>
                <w:szCs w:val="20"/>
              </w:rPr>
            </w:pPr>
            <w:r w:rsidRPr="004A178B">
              <w:rPr>
                <w:rFonts w:ascii="Calibri" w:hAnsi="Calibri" w:cs="Calibri"/>
                <w:color w:val="000000"/>
                <w:sz w:val="20"/>
                <w:szCs w:val="20"/>
              </w:rPr>
              <w:t>PCOC ha</w:t>
            </w:r>
            <w:r w:rsidR="004A178B" w:rsidRPr="004A178B">
              <w:rPr>
                <w:rFonts w:ascii="Calibri" w:hAnsi="Calibri" w:cs="Calibri"/>
                <w:color w:val="000000"/>
                <w:sz w:val="20"/>
                <w:szCs w:val="20"/>
              </w:rPr>
              <w:t>s</w:t>
            </w:r>
            <w:r w:rsidRPr="004A178B">
              <w:rPr>
                <w:rFonts w:ascii="Calibri" w:hAnsi="Calibri" w:cs="Calibri"/>
                <w:color w:val="000000"/>
                <w:sz w:val="20"/>
                <w:szCs w:val="20"/>
              </w:rPr>
              <w:t xml:space="preserve"> been collaborating with </w:t>
            </w:r>
            <w:r w:rsidR="004A178B" w:rsidRPr="004A178B">
              <w:rPr>
                <w:rFonts w:ascii="Calibri" w:hAnsi="Calibri" w:cs="Calibri"/>
                <w:color w:val="000000"/>
                <w:sz w:val="20"/>
                <w:szCs w:val="20"/>
              </w:rPr>
              <w:t xml:space="preserve">Outcome Assessment and Complexity Collaborative (OACC), UK which is a </w:t>
            </w:r>
            <w:r w:rsidRPr="004A178B">
              <w:rPr>
                <w:rFonts w:ascii="Calibri" w:hAnsi="Calibri" w:cs="Calibri"/>
                <w:color w:val="000000"/>
                <w:sz w:val="20"/>
                <w:szCs w:val="20"/>
              </w:rPr>
              <w:t>new collaborative modelled on PCOC.</w:t>
            </w:r>
            <w:r w:rsidR="004A178B" w:rsidRPr="004A178B">
              <w:rPr>
                <w:rFonts w:ascii="Calibri" w:hAnsi="Calibri" w:cs="Calibri"/>
                <w:color w:val="000000"/>
                <w:sz w:val="20"/>
                <w:szCs w:val="20"/>
              </w:rPr>
              <w:t xml:space="preserve"> The two outcome centre share resource and work together on research studies. </w:t>
            </w:r>
          </w:p>
          <w:p w:rsidR="000E75B3" w:rsidRPr="006C6EED" w:rsidRDefault="004A178B" w:rsidP="006C6EED">
            <w:pPr>
              <w:pStyle w:val="ListParagraph"/>
              <w:numPr>
                <w:ilvl w:val="0"/>
                <w:numId w:val="9"/>
              </w:numPr>
              <w:spacing w:before="40" w:after="40" w:line="240" w:lineRule="auto"/>
              <w:ind w:left="271" w:hanging="271"/>
              <w:contextualSpacing w:val="0"/>
              <w:rPr>
                <w:rFonts w:ascii="Calibri" w:hAnsi="Calibri" w:cs="Calibri"/>
                <w:color w:val="000000"/>
                <w:sz w:val="20"/>
                <w:szCs w:val="20"/>
              </w:rPr>
            </w:pPr>
            <w:r w:rsidRPr="004A178B">
              <w:rPr>
                <w:sz w:val="20"/>
                <w:szCs w:val="20"/>
              </w:rPr>
              <w:t xml:space="preserve">PCOC hosted a study tour for 10 members of the Singapore Palliative Care Guidelines Implementation Task Force. </w:t>
            </w:r>
          </w:p>
        </w:tc>
      </w:tr>
      <w:tr w:rsidR="003E24DC" w:rsidRPr="000E75B3" w:rsidTr="006C6EED">
        <w:trPr>
          <w:trHeight w:hRule="exact" w:val="1268"/>
        </w:trPr>
        <w:tc>
          <w:tcPr>
            <w:tcW w:w="631" w:type="pct"/>
            <w:tcBorders>
              <w:bottom w:val="single" w:sz="4" w:space="0" w:color="auto"/>
              <w:right w:val="single" w:sz="4" w:space="0" w:color="auto"/>
            </w:tcBorders>
          </w:tcPr>
          <w:p w:rsidR="00450D23" w:rsidRPr="006C6EED" w:rsidRDefault="001F1254" w:rsidP="006C6EED">
            <w:pPr>
              <w:spacing w:before="60" w:after="60" w:line="240" w:lineRule="auto"/>
              <w:rPr>
                <w:b/>
                <w:sz w:val="24"/>
                <w:szCs w:val="24"/>
              </w:rPr>
            </w:pPr>
            <w:r w:rsidRPr="006C6EED">
              <w:rPr>
                <w:b/>
                <w:sz w:val="24"/>
                <w:szCs w:val="24"/>
              </w:rPr>
              <w:t>Challenges &amp;</w:t>
            </w:r>
            <w:r w:rsidR="003E24DC" w:rsidRPr="006C6EED">
              <w:rPr>
                <w:b/>
                <w:sz w:val="24"/>
                <w:szCs w:val="24"/>
              </w:rPr>
              <w:t xml:space="preserve"> lessons learnt</w:t>
            </w:r>
          </w:p>
        </w:tc>
        <w:tc>
          <w:tcPr>
            <w:tcW w:w="4369" w:type="pct"/>
            <w:tcBorders>
              <w:left w:val="single" w:sz="4" w:space="0" w:color="auto"/>
              <w:bottom w:val="single" w:sz="4" w:space="0" w:color="auto"/>
            </w:tcBorders>
          </w:tcPr>
          <w:p w:rsidR="009A3D6A" w:rsidRDefault="00675ABB" w:rsidP="006C6EED">
            <w:pPr>
              <w:pStyle w:val="Default"/>
              <w:numPr>
                <w:ilvl w:val="0"/>
                <w:numId w:val="9"/>
              </w:numPr>
              <w:spacing w:before="60" w:after="60"/>
              <w:ind w:left="271" w:hanging="284"/>
              <w:rPr>
                <w:sz w:val="20"/>
                <w:szCs w:val="20"/>
              </w:rPr>
            </w:pPr>
            <w:r w:rsidRPr="009A3D6A">
              <w:rPr>
                <w:sz w:val="20"/>
                <w:szCs w:val="20"/>
              </w:rPr>
              <w:t>Effective strategies to include the PCOC dataset into state-wide systems, in addition to the ongoing support for the existing IT systems.</w:t>
            </w:r>
          </w:p>
          <w:p w:rsidR="000265E2" w:rsidRDefault="00B571E5" w:rsidP="006C6EED">
            <w:pPr>
              <w:pStyle w:val="Default"/>
              <w:numPr>
                <w:ilvl w:val="0"/>
                <w:numId w:val="9"/>
              </w:numPr>
              <w:spacing w:before="60" w:after="60"/>
              <w:ind w:left="271" w:hanging="284"/>
              <w:rPr>
                <w:sz w:val="20"/>
                <w:szCs w:val="20"/>
              </w:rPr>
            </w:pPr>
            <w:r w:rsidRPr="009A3D6A">
              <w:rPr>
                <w:sz w:val="20"/>
                <w:szCs w:val="20"/>
              </w:rPr>
              <w:t>The development of a suite of reports to cater for the different audiences within palliative care.</w:t>
            </w:r>
          </w:p>
          <w:p w:rsidR="006C32AB" w:rsidRPr="006C6EED" w:rsidRDefault="00DE79D4" w:rsidP="006C6EED">
            <w:pPr>
              <w:pStyle w:val="Default"/>
              <w:numPr>
                <w:ilvl w:val="0"/>
                <w:numId w:val="9"/>
              </w:numPr>
              <w:spacing w:before="60" w:after="60"/>
              <w:ind w:left="271" w:hanging="284"/>
              <w:rPr>
                <w:sz w:val="20"/>
                <w:szCs w:val="20"/>
              </w:rPr>
            </w:pPr>
            <w:r>
              <w:rPr>
                <w:sz w:val="20"/>
                <w:szCs w:val="20"/>
              </w:rPr>
              <w:t>Effective communication tools to enable efficien</w:t>
            </w:r>
            <w:r w:rsidR="006C6EED">
              <w:rPr>
                <w:sz w:val="20"/>
                <w:szCs w:val="20"/>
              </w:rPr>
              <w:t>t access to shared information.</w:t>
            </w:r>
          </w:p>
        </w:tc>
      </w:tr>
      <w:tr w:rsidR="003E24DC" w:rsidRPr="000E75B3" w:rsidTr="006C6EED">
        <w:trPr>
          <w:trHeight w:hRule="exact" w:val="3837"/>
        </w:trPr>
        <w:tc>
          <w:tcPr>
            <w:tcW w:w="631" w:type="pct"/>
            <w:tcBorders>
              <w:right w:val="single" w:sz="4" w:space="0" w:color="auto"/>
            </w:tcBorders>
          </w:tcPr>
          <w:p w:rsidR="003E24DC" w:rsidRPr="006C6EED" w:rsidRDefault="003E24DC" w:rsidP="006C6EED">
            <w:pPr>
              <w:spacing w:before="60" w:after="60" w:line="240" w:lineRule="auto"/>
              <w:rPr>
                <w:b/>
                <w:sz w:val="24"/>
                <w:szCs w:val="24"/>
              </w:rPr>
            </w:pPr>
            <w:r w:rsidRPr="006C6EED">
              <w:rPr>
                <w:b/>
                <w:sz w:val="24"/>
                <w:szCs w:val="24"/>
              </w:rPr>
              <w:t>Plans for 2016 and 2017</w:t>
            </w:r>
          </w:p>
        </w:tc>
        <w:tc>
          <w:tcPr>
            <w:tcW w:w="4369" w:type="pct"/>
            <w:tcBorders>
              <w:left w:val="single" w:sz="4" w:space="0" w:color="auto"/>
            </w:tcBorders>
          </w:tcPr>
          <w:p w:rsidR="005757AB" w:rsidRPr="005757AB" w:rsidRDefault="005757AB" w:rsidP="006C6EED">
            <w:pPr>
              <w:spacing w:before="60" w:after="60" w:line="240" w:lineRule="auto"/>
              <w:rPr>
                <w:sz w:val="20"/>
                <w:szCs w:val="20"/>
              </w:rPr>
            </w:pPr>
            <w:r>
              <w:rPr>
                <w:sz w:val="20"/>
                <w:szCs w:val="20"/>
              </w:rPr>
              <w:t xml:space="preserve">PCOC has </w:t>
            </w:r>
            <w:r w:rsidR="00A63A67">
              <w:rPr>
                <w:sz w:val="20"/>
                <w:szCs w:val="20"/>
              </w:rPr>
              <w:t>a</w:t>
            </w:r>
            <w:r>
              <w:rPr>
                <w:sz w:val="20"/>
                <w:szCs w:val="20"/>
              </w:rPr>
              <w:t xml:space="preserve"> regular program of work</w:t>
            </w:r>
            <w:r w:rsidR="00A63A67">
              <w:rPr>
                <w:sz w:val="20"/>
                <w:szCs w:val="20"/>
              </w:rPr>
              <w:t xml:space="preserve">, with many activities conducted in a six-month cycle. </w:t>
            </w:r>
          </w:p>
          <w:p w:rsidR="00624CBF" w:rsidRPr="00DE79D4" w:rsidRDefault="00624CBF" w:rsidP="006C6EED">
            <w:pPr>
              <w:pStyle w:val="ListParagraph"/>
              <w:numPr>
                <w:ilvl w:val="0"/>
                <w:numId w:val="9"/>
              </w:numPr>
              <w:spacing w:before="60" w:after="60" w:line="240" w:lineRule="auto"/>
              <w:contextualSpacing w:val="0"/>
              <w:rPr>
                <w:rFonts w:ascii="Calibri" w:hAnsi="Calibri" w:cs="Calibri"/>
                <w:color w:val="000000"/>
                <w:sz w:val="20"/>
                <w:szCs w:val="20"/>
              </w:rPr>
            </w:pPr>
            <w:r w:rsidRPr="00DE79D4">
              <w:rPr>
                <w:rFonts w:ascii="Calibri" w:hAnsi="Calibri" w:cs="Calibri"/>
                <w:color w:val="000000"/>
                <w:sz w:val="20"/>
                <w:szCs w:val="20"/>
              </w:rPr>
              <w:t>Support for participating to use the clinical assessment tools</w:t>
            </w:r>
            <w:r w:rsidR="006C32AB" w:rsidRPr="00DE79D4">
              <w:rPr>
                <w:rFonts w:ascii="Calibri" w:hAnsi="Calibri" w:cs="Calibri"/>
                <w:color w:val="000000"/>
                <w:sz w:val="20"/>
                <w:szCs w:val="20"/>
              </w:rPr>
              <w:t>.</w:t>
            </w:r>
          </w:p>
          <w:p w:rsidR="006C6EED" w:rsidRDefault="00624CBF" w:rsidP="006C6EED">
            <w:pPr>
              <w:pStyle w:val="ListParagraph"/>
              <w:numPr>
                <w:ilvl w:val="0"/>
                <w:numId w:val="9"/>
              </w:numPr>
              <w:spacing w:before="60" w:after="60" w:line="240" w:lineRule="auto"/>
              <w:contextualSpacing w:val="0"/>
              <w:rPr>
                <w:rFonts w:ascii="Calibri" w:hAnsi="Calibri" w:cs="Calibri"/>
                <w:color w:val="000000"/>
                <w:sz w:val="20"/>
                <w:szCs w:val="20"/>
              </w:rPr>
            </w:pPr>
            <w:r w:rsidRPr="006C6EED">
              <w:rPr>
                <w:rFonts w:ascii="Calibri" w:hAnsi="Calibri" w:cs="Calibri"/>
                <w:color w:val="000000"/>
                <w:sz w:val="20"/>
                <w:szCs w:val="20"/>
              </w:rPr>
              <w:t xml:space="preserve">Production of a suite of patient outcome reports every </w:t>
            </w:r>
            <w:r w:rsidR="005757AB" w:rsidRPr="006C6EED">
              <w:rPr>
                <w:rFonts w:ascii="Calibri" w:hAnsi="Calibri" w:cs="Calibri"/>
                <w:color w:val="000000"/>
                <w:sz w:val="20"/>
                <w:szCs w:val="20"/>
              </w:rPr>
              <w:t>six-months</w:t>
            </w:r>
            <w:r w:rsidR="003203CA" w:rsidRPr="006C6EED">
              <w:rPr>
                <w:rFonts w:ascii="Calibri" w:hAnsi="Calibri" w:cs="Calibri"/>
                <w:color w:val="000000"/>
                <w:sz w:val="20"/>
                <w:szCs w:val="20"/>
              </w:rPr>
              <w:t>, including a revie</w:t>
            </w:r>
            <w:r w:rsidR="006C6EED">
              <w:rPr>
                <w:rFonts w:ascii="Calibri" w:hAnsi="Calibri" w:cs="Calibri"/>
                <w:color w:val="000000"/>
                <w:sz w:val="20"/>
                <w:szCs w:val="20"/>
              </w:rPr>
              <w:t>w.</w:t>
            </w:r>
          </w:p>
          <w:p w:rsidR="00624CBF" w:rsidRPr="006C6EED" w:rsidRDefault="003203CA" w:rsidP="006C6EED">
            <w:pPr>
              <w:pStyle w:val="ListParagraph"/>
              <w:numPr>
                <w:ilvl w:val="0"/>
                <w:numId w:val="9"/>
              </w:numPr>
              <w:spacing w:before="60" w:after="60" w:line="240" w:lineRule="auto"/>
              <w:contextualSpacing w:val="0"/>
              <w:rPr>
                <w:rFonts w:ascii="Calibri" w:hAnsi="Calibri" w:cs="Calibri"/>
                <w:color w:val="000000"/>
                <w:sz w:val="20"/>
                <w:szCs w:val="20"/>
              </w:rPr>
            </w:pPr>
            <w:r w:rsidRPr="006C6EED">
              <w:rPr>
                <w:rFonts w:ascii="Calibri" w:hAnsi="Calibri" w:cs="Calibri"/>
                <w:color w:val="000000"/>
                <w:sz w:val="20"/>
                <w:szCs w:val="20"/>
              </w:rPr>
              <w:t xml:space="preserve">Provision of </w:t>
            </w:r>
            <w:r w:rsidR="00624CBF" w:rsidRPr="006C6EED">
              <w:rPr>
                <w:rFonts w:ascii="Calibri" w:hAnsi="Calibri" w:cs="Calibri"/>
                <w:color w:val="000000"/>
                <w:sz w:val="20"/>
                <w:szCs w:val="20"/>
              </w:rPr>
              <w:t>support for services and key stakeholders</w:t>
            </w:r>
            <w:r w:rsidRPr="006C6EED">
              <w:rPr>
                <w:rFonts w:ascii="Calibri" w:hAnsi="Calibri" w:cs="Calibri"/>
                <w:color w:val="000000"/>
                <w:sz w:val="20"/>
                <w:szCs w:val="20"/>
              </w:rPr>
              <w:t xml:space="preserve"> every six months</w:t>
            </w:r>
            <w:r w:rsidR="00A63A67" w:rsidRPr="006C6EED">
              <w:rPr>
                <w:rFonts w:ascii="Calibri" w:hAnsi="Calibri" w:cs="Calibri"/>
                <w:color w:val="000000"/>
                <w:sz w:val="20"/>
                <w:szCs w:val="20"/>
              </w:rPr>
              <w:t xml:space="preserve"> in line with the report suite</w:t>
            </w:r>
            <w:r w:rsidRPr="006C6EED">
              <w:rPr>
                <w:rFonts w:ascii="Calibri" w:hAnsi="Calibri" w:cs="Calibri"/>
                <w:color w:val="000000"/>
                <w:sz w:val="20"/>
                <w:szCs w:val="20"/>
              </w:rPr>
              <w:t>.</w:t>
            </w:r>
          </w:p>
          <w:p w:rsidR="00624CBF" w:rsidRPr="00DE79D4" w:rsidRDefault="00624CBF" w:rsidP="006C6EED">
            <w:pPr>
              <w:pStyle w:val="ListParagraph"/>
              <w:numPr>
                <w:ilvl w:val="0"/>
                <w:numId w:val="9"/>
              </w:numPr>
              <w:spacing w:before="60" w:after="60" w:line="240" w:lineRule="auto"/>
              <w:contextualSpacing w:val="0"/>
              <w:rPr>
                <w:rFonts w:ascii="Calibri" w:hAnsi="Calibri" w:cs="Calibri"/>
                <w:color w:val="000000"/>
                <w:sz w:val="20"/>
                <w:szCs w:val="20"/>
              </w:rPr>
            </w:pPr>
            <w:r w:rsidRPr="00DE79D4">
              <w:rPr>
                <w:rFonts w:ascii="Calibri" w:hAnsi="Calibri" w:cs="Calibri"/>
                <w:color w:val="000000"/>
                <w:sz w:val="20"/>
                <w:szCs w:val="20"/>
              </w:rPr>
              <w:t>Provi</w:t>
            </w:r>
            <w:r w:rsidR="003203CA" w:rsidRPr="00DE79D4">
              <w:rPr>
                <w:rFonts w:ascii="Calibri" w:hAnsi="Calibri" w:cs="Calibri"/>
                <w:color w:val="000000"/>
                <w:sz w:val="20"/>
                <w:szCs w:val="20"/>
              </w:rPr>
              <w:t>sion of</w:t>
            </w:r>
            <w:r w:rsidRPr="00DE79D4">
              <w:rPr>
                <w:rFonts w:ascii="Calibri" w:hAnsi="Calibri" w:cs="Calibri"/>
                <w:color w:val="000000"/>
                <w:sz w:val="20"/>
                <w:szCs w:val="20"/>
              </w:rPr>
              <w:t xml:space="preserve"> </w:t>
            </w:r>
            <w:r w:rsidR="003203CA" w:rsidRPr="00DE79D4">
              <w:rPr>
                <w:rFonts w:ascii="Calibri" w:hAnsi="Calibri" w:cs="Calibri"/>
                <w:color w:val="000000"/>
                <w:sz w:val="20"/>
                <w:szCs w:val="20"/>
              </w:rPr>
              <w:t xml:space="preserve">regular education and </w:t>
            </w:r>
            <w:r w:rsidRPr="00DE79D4">
              <w:rPr>
                <w:rFonts w:ascii="Calibri" w:hAnsi="Calibri" w:cs="Calibri"/>
                <w:color w:val="000000"/>
                <w:sz w:val="20"/>
                <w:szCs w:val="20"/>
              </w:rPr>
              <w:t xml:space="preserve">training for </w:t>
            </w:r>
            <w:r w:rsidR="005757AB" w:rsidRPr="00DE79D4">
              <w:rPr>
                <w:rFonts w:ascii="Calibri" w:hAnsi="Calibri" w:cs="Calibri"/>
                <w:color w:val="000000"/>
                <w:sz w:val="20"/>
                <w:szCs w:val="20"/>
              </w:rPr>
              <w:t>clinicians</w:t>
            </w:r>
            <w:r w:rsidRPr="00DE79D4">
              <w:rPr>
                <w:rFonts w:ascii="Calibri" w:hAnsi="Calibri" w:cs="Calibri"/>
                <w:color w:val="000000"/>
                <w:sz w:val="20"/>
                <w:szCs w:val="20"/>
              </w:rPr>
              <w:t xml:space="preserve">, management and </w:t>
            </w:r>
            <w:r w:rsidR="003203CA" w:rsidRPr="00DE79D4">
              <w:rPr>
                <w:rFonts w:ascii="Calibri" w:hAnsi="Calibri" w:cs="Calibri"/>
                <w:color w:val="000000"/>
                <w:sz w:val="20"/>
                <w:szCs w:val="20"/>
              </w:rPr>
              <w:t>executive</w:t>
            </w:r>
            <w:r w:rsidRPr="00DE79D4">
              <w:rPr>
                <w:rFonts w:ascii="Calibri" w:hAnsi="Calibri" w:cs="Calibri"/>
                <w:color w:val="000000"/>
                <w:sz w:val="20"/>
                <w:szCs w:val="20"/>
              </w:rPr>
              <w:t xml:space="preserve"> staff</w:t>
            </w:r>
            <w:r w:rsidR="003203CA" w:rsidRPr="00DE79D4">
              <w:rPr>
                <w:rFonts w:ascii="Calibri" w:hAnsi="Calibri" w:cs="Calibri"/>
                <w:color w:val="000000"/>
                <w:sz w:val="20"/>
                <w:szCs w:val="20"/>
              </w:rPr>
              <w:t>.</w:t>
            </w:r>
          </w:p>
          <w:p w:rsidR="005757AB" w:rsidRPr="00DE79D4" w:rsidRDefault="005757AB" w:rsidP="006C6EED">
            <w:pPr>
              <w:pStyle w:val="ListParagraph"/>
              <w:numPr>
                <w:ilvl w:val="0"/>
                <w:numId w:val="9"/>
              </w:numPr>
              <w:spacing w:before="60" w:after="60" w:line="240" w:lineRule="auto"/>
              <w:contextualSpacing w:val="0"/>
              <w:rPr>
                <w:rFonts w:ascii="Calibri" w:hAnsi="Calibri" w:cs="Calibri"/>
                <w:color w:val="000000"/>
                <w:sz w:val="20"/>
                <w:szCs w:val="20"/>
              </w:rPr>
            </w:pPr>
            <w:r w:rsidRPr="00DE79D4">
              <w:rPr>
                <w:rFonts w:ascii="Calibri" w:hAnsi="Calibri" w:cs="Calibri"/>
                <w:color w:val="000000"/>
                <w:sz w:val="20"/>
                <w:szCs w:val="20"/>
              </w:rPr>
              <w:t>Provision of a series of</w:t>
            </w:r>
            <w:r w:rsidR="003203CA" w:rsidRPr="00DE79D4">
              <w:rPr>
                <w:rFonts w:ascii="Calibri" w:hAnsi="Calibri" w:cs="Calibri"/>
                <w:color w:val="000000"/>
                <w:sz w:val="20"/>
                <w:szCs w:val="20"/>
              </w:rPr>
              <w:t xml:space="preserve"> annual benchmarking workshops. </w:t>
            </w:r>
          </w:p>
          <w:p w:rsidR="005757AB" w:rsidRPr="00DE79D4" w:rsidRDefault="00A63A67" w:rsidP="006C6EED">
            <w:pPr>
              <w:pStyle w:val="ListParagraph"/>
              <w:numPr>
                <w:ilvl w:val="0"/>
                <w:numId w:val="9"/>
              </w:numPr>
              <w:spacing w:before="60" w:after="60" w:line="240" w:lineRule="auto"/>
              <w:contextualSpacing w:val="0"/>
              <w:rPr>
                <w:rFonts w:ascii="Calibri" w:hAnsi="Calibri" w:cs="Calibri"/>
                <w:color w:val="000000"/>
                <w:sz w:val="20"/>
                <w:szCs w:val="20"/>
              </w:rPr>
            </w:pPr>
            <w:r w:rsidRPr="00DE79D4">
              <w:rPr>
                <w:rFonts w:ascii="Calibri" w:hAnsi="Calibri" w:cs="Calibri"/>
                <w:color w:val="000000"/>
                <w:sz w:val="20"/>
                <w:szCs w:val="20"/>
              </w:rPr>
              <w:t>Progression of the a</w:t>
            </w:r>
            <w:r w:rsidR="000F22A9" w:rsidRPr="00DE79D4">
              <w:rPr>
                <w:rFonts w:ascii="Calibri" w:hAnsi="Calibri" w:cs="Calibri"/>
                <w:color w:val="000000"/>
                <w:sz w:val="20"/>
                <w:szCs w:val="20"/>
              </w:rPr>
              <w:t xml:space="preserve">pplication and reporting on </w:t>
            </w:r>
            <w:r w:rsidR="00675ABB" w:rsidRPr="00DE79D4">
              <w:rPr>
                <w:rFonts w:ascii="Calibri" w:hAnsi="Calibri" w:cs="Calibri"/>
                <w:color w:val="000000"/>
                <w:sz w:val="20"/>
                <w:szCs w:val="20"/>
              </w:rPr>
              <w:t>the six</w:t>
            </w:r>
            <w:r w:rsidR="000F22A9" w:rsidRPr="00DE79D4">
              <w:rPr>
                <w:rFonts w:ascii="Calibri" w:hAnsi="Calibri" w:cs="Calibri"/>
                <w:color w:val="000000"/>
                <w:sz w:val="20"/>
                <w:szCs w:val="20"/>
              </w:rPr>
              <w:t xml:space="preserve"> new benchmarks and outcome measures.</w:t>
            </w:r>
          </w:p>
          <w:p w:rsidR="00675ABB" w:rsidRPr="00DE79D4" w:rsidRDefault="005757AB" w:rsidP="006C6EED">
            <w:pPr>
              <w:pStyle w:val="ListParagraph"/>
              <w:numPr>
                <w:ilvl w:val="0"/>
                <w:numId w:val="9"/>
              </w:numPr>
              <w:spacing w:before="60" w:after="60" w:line="240" w:lineRule="auto"/>
              <w:contextualSpacing w:val="0"/>
              <w:rPr>
                <w:rFonts w:ascii="Calibri" w:hAnsi="Calibri" w:cs="Calibri"/>
                <w:color w:val="000000"/>
                <w:sz w:val="20"/>
                <w:szCs w:val="20"/>
              </w:rPr>
            </w:pPr>
            <w:r w:rsidRPr="00DE79D4">
              <w:rPr>
                <w:rFonts w:ascii="Calibri" w:hAnsi="Calibri" w:cs="Calibri"/>
                <w:color w:val="000000"/>
                <w:sz w:val="20"/>
                <w:szCs w:val="20"/>
              </w:rPr>
              <w:t>Development of a PCOC ve</w:t>
            </w:r>
            <w:r w:rsidR="00675ABB" w:rsidRPr="00DE79D4">
              <w:rPr>
                <w:rFonts w:ascii="Calibri" w:hAnsi="Calibri" w:cs="Calibri"/>
                <w:color w:val="000000"/>
                <w:sz w:val="20"/>
                <w:szCs w:val="20"/>
              </w:rPr>
              <w:t xml:space="preserve">rsion 4 dataset. </w:t>
            </w:r>
          </w:p>
          <w:p w:rsidR="0075436B" w:rsidRPr="00DE79D4" w:rsidRDefault="000265E2" w:rsidP="006C6EED">
            <w:pPr>
              <w:pStyle w:val="ListParagraph"/>
              <w:numPr>
                <w:ilvl w:val="0"/>
                <w:numId w:val="9"/>
              </w:numPr>
              <w:spacing w:before="60" w:after="60" w:line="240" w:lineRule="auto"/>
              <w:contextualSpacing w:val="0"/>
              <w:rPr>
                <w:rFonts w:ascii="Calibri" w:hAnsi="Calibri" w:cs="Calibri"/>
                <w:color w:val="000000"/>
                <w:sz w:val="20"/>
                <w:szCs w:val="20"/>
              </w:rPr>
            </w:pPr>
            <w:r w:rsidRPr="00DE79D4">
              <w:rPr>
                <w:rFonts w:ascii="Calibri" w:hAnsi="Calibri" w:cs="Calibri"/>
                <w:color w:val="000000"/>
                <w:sz w:val="20"/>
                <w:szCs w:val="20"/>
              </w:rPr>
              <w:t xml:space="preserve">Presentations at </w:t>
            </w:r>
            <w:r w:rsidR="003203CA" w:rsidRPr="00DE79D4">
              <w:rPr>
                <w:rFonts w:ascii="Calibri" w:hAnsi="Calibri" w:cs="Calibri"/>
                <w:color w:val="000000"/>
                <w:sz w:val="20"/>
                <w:szCs w:val="20"/>
              </w:rPr>
              <w:t>selected</w:t>
            </w:r>
            <w:r w:rsidRPr="00DE79D4">
              <w:rPr>
                <w:rFonts w:ascii="Calibri" w:hAnsi="Calibri" w:cs="Calibri"/>
                <w:color w:val="000000"/>
                <w:sz w:val="20"/>
                <w:szCs w:val="20"/>
              </w:rPr>
              <w:t xml:space="preserve"> palli</w:t>
            </w:r>
            <w:r w:rsidR="00A63A67" w:rsidRPr="00DE79D4">
              <w:rPr>
                <w:rFonts w:ascii="Calibri" w:hAnsi="Calibri" w:cs="Calibri"/>
                <w:color w:val="000000"/>
                <w:sz w:val="20"/>
                <w:szCs w:val="20"/>
              </w:rPr>
              <w:t xml:space="preserve">ative care conferences by PCOC and enabling </w:t>
            </w:r>
            <w:r w:rsidR="003203CA" w:rsidRPr="00DE79D4">
              <w:rPr>
                <w:rFonts w:ascii="Calibri" w:hAnsi="Calibri" w:cs="Calibri"/>
                <w:color w:val="000000"/>
                <w:sz w:val="20"/>
                <w:szCs w:val="20"/>
              </w:rPr>
              <w:t>services to use the</w:t>
            </w:r>
            <w:r w:rsidR="00A63A67" w:rsidRPr="00DE79D4">
              <w:rPr>
                <w:rFonts w:ascii="Calibri" w:hAnsi="Calibri" w:cs="Calibri"/>
                <w:color w:val="000000"/>
                <w:sz w:val="20"/>
                <w:szCs w:val="20"/>
              </w:rPr>
              <w:t xml:space="preserve">ir </w:t>
            </w:r>
            <w:r w:rsidR="003203CA" w:rsidRPr="00DE79D4">
              <w:rPr>
                <w:rFonts w:ascii="Calibri" w:hAnsi="Calibri" w:cs="Calibri"/>
                <w:color w:val="000000"/>
                <w:sz w:val="20"/>
                <w:szCs w:val="20"/>
              </w:rPr>
              <w:t xml:space="preserve">PCOC </w:t>
            </w:r>
            <w:r w:rsidR="00A63A67" w:rsidRPr="00DE79D4">
              <w:rPr>
                <w:rFonts w:ascii="Calibri" w:hAnsi="Calibri" w:cs="Calibri"/>
                <w:color w:val="000000"/>
                <w:sz w:val="20"/>
                <w:szCs w:val="20"/>
              </w:rPr>
              <w:t xml:space="preserve">information and or PCOC </w:t>
            </w:r>
            <w:r w:rsidR="003203CA" w:rsidRPr="00DE79D4">
              <w:rPr>
                <w:rFonts w:ascii="Calibri" w:hAnsi="Calibri" w:cs="Calibri"/>
                <w:color w:val="000000"/>
                <w:sz w:val="20"/>
                <w:szCs w:val="20"/>
              </w:rPr>
              <w:t>database for presen</w:t>
            </w:r>
            <w:r w:rsidR="00A63A67" w:rsidRPr="00DE79D4">
              <w:rPr>
                <w:rFonts w:ascii="Calibri" w:hAnsi="Calibri" w:cs="Calibri"/>
                <w:color w:val="000000"/>
                <w:sz w:val="20"/>
                <w:szCs w:val="20"/>
              </w:rPr>
              <w:t>t</w:t>
            </w:r>
            <w:r w:rsidR="003203CA" w:rsidRPr="00DE79D4">
              <w:rPr>
                <w:rFonts w:ascii="Calibri" w:hAnsi="Calibri" w:cs="Calibri"/>
                <w:color w:val="000000"/>
                <w:sz w:val="20"/>
                <w:szCs w:val="20"/>
              </w:rPr>
              <w:t>ations.</w:t>
            </w:r>
          </w:p>
          <w:p w:rsidR="000265E2" w:rsidRPr="00DE79D4" w:rsidRDefault="0075436B" w:rsidP="006C6EED">
            <w:pPr>
              <w:pStyle w:val="ListParagraph"/>
              <w:numPr>
                <w:ilvl w:val="0"/>
                <w:numId w:val="9"/>
              </w:numPr>
              <w:spacing w:before="60" w:after="60" w:line="240" w:lineRule="auto"/>
              <w:contextualSpacing w:val="0"/>
              <w:rPr>
                <w:rFonts w:ascii="Calibri" w:hAnsi="Calibri" w:cs="Calibri"/>
                <w:color w:val="000000"/>
                <w:sz w:val="20"/>
                <w:szCs w:val="20"/>
              </w:rPr>
            </w:pPr>
            <w:r w:rsidRPr="00DE79D4">
              <w:rPr>
                <w:rFonts w:ascii="Calibri" w:hAnsi="Calibri" w:cs="Calibri"/>
                <w:color w:val="000000"/>
                <w:sz w:val="20"/>
                <w:szCs w:val="20"/>
              </w:rPr>
              <w:t xml:space="preserve">Research projects will continue to be </w:t>
            </w:r>
            <w:r w:rsidR="00DE79D4" w:rsidRPr="00DE79D4">
              <w:rPr>
                <w:rFonts w:ascii="Calibri" w:hAnsi="Calibri" w:cs="Calibri"/>
                <w:color w:val="000000"/>
                <w:sz w:val="20"/>
                <w:szCs w:val="20"/>
              </w:rPr>
              <w:t>conducted;</w:t>
            </w:r>
            <w:r w:rsidRPr="00DE79D4">
              <w:rPr>
                <w:rFonts w:ascii="Calibri" w:hAnsi="Calibri" w:cs="Calibri"/>
                <w:color w:val="000000"/>
                <w:sz w:val="20"/>
                <w:szCs w:val="20"/>
              </w:rPr>
              <w:t xml:space="preserve"> including those initiated by PCOC and well as those PCOC supports by providing data requests to researchers in the sector. </w:t>
            </w:r>
          </w:p>
          <w:p w:rsidR="00AE40D3" w:rsidRPr="003E24DC" w:rsidRDefault="00AE40D3" w:rsidP="006C6EED">
            <w:pPr>
              <w:pStyle w:val="ListParagraph"/>
              <w:numPr>
                <w:ilvl w:val="0"/>
                <w:numId w:val="9"/>
              </w:numPr>
              <w:spacing w:before="60" w:after="60" w:line="240" w:lineRule="auto"/>
              <w:contextualSpacing w:val="0"/>
            </w:pPr>
            <w:r w:rsidRPr="00DE79D4">
              <w:rPr>
                <w:rFonts w:ascii="Calibri" w:hAnsi="Calibri" w:cs="Calibri"/>
                <w:color w:val="000000"/>
                <w:sz w:val="20"/>
                <w:szCs w:val="20"/>
              </w:rPr>
              <w:t xml:space="preserve">Continuation of the collaboration with </w:t>
            </w:r>
            <w:r w:rsidRPr="004A178B">
              <w:rPr>
                <w:rFonts w:ascii="Calibri" w:hAnsi="Calibri" w:cs="Calibri"/>
                <w:color w:val="000000"/>
                <w:sz w:val="20"/>
                <w:szCs w:val="20"/>
              </w:rPr>
              <w:t>Outcome Assessment and Complexity Collaborative (OACC)</w:t>
            </w:r>
          </w:p>
        </w:tc>
      </w:tr>
    </w:tbl>
    <w:p w:rsidR="000E75B3" w:rsidRPr="00C35F05" w:rsidRDefault="000E75B3" w:rsidP="00C35F05">
      <w:pPr>
        <w:spacing w:after="0"/>
        <w:rPr>
          <w:sz w:val="2"/>
          <w:szCs w:val="2"/>
        </w:rPr>
      </w:pPr>
    </w:p>
    <w:sectPr w:rsidR="000E75B3" w:rsidRPr="00C35F05" w:rsidSect="00450D23">
      <w:footerReference w:type="default" r:id="rId8"/>
      <w:headerReference w:type="first" r:id="rId9"/>
      <w:footerReference w:type="first" r:id="rId10"/>
      <w:pgSz w:w="11906" w:h="16838"/>
      <w:pgMar w:top="1134" w:right="1440" w:bottom="1134" w:left="1440"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2B6D" w:rsidRDefault="00912B6D" w:rsidP="0072523A">
      <w:r>
        <w:separator/>
      </w:r>
    </w:p>
  </w:endnote>
  <w:endnote w:type="continuationSeparator" w:id="0">
    <w:p w:rsidR="00912B6D" w:rsidRDefault="00912B6D" w:rsidP="00725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D23" w:rsidRPr="00967CD3" w:rsidRDefault="00450D23" w:rsidP="00450D23">
    <w:pPr>
      <w:pStyle w:val="Footer"/>
      <w:jc w:val="center"/>
      <w:rPr>
        <w:rFonts w:cs="Arial"/>
        <w:color w:val="999999"/>
        <w:sz w:val="16"/>
        <w:szCs w:val="16"/>
      </w:rPr>
    </w:pPr>
    <w:r w:rsidRPr="00967CD3">
      <w:rPr>
        <w:rFonts w:cs="Arial"/>
        <w:color w:val="999999"/>
        <w:sz w:val="16"/>
        <w:szCs w:val="16"/>
      </w:rPr>
      <w:t>Level 1, 21 Napier Close, Deakin, ACT 2600</w:t>
    </w:r>
  </w:p>
  <w:p w:rsidR="00450D23" w:rsidRPr="00967CD3" w:rsidRDefault="00450D23" w:rsidP="00450D23">
    <w:pPr>
      <w:pStyle w:val="Footer"/>
      <w:jc w:val="center"/>
      <w:rPr>
        <w:rFonts w:cs="Arial"/>
        <w:color w:val="999999"/>
        <w:sz w:val="16"/>
        <w:szCs w:val="16"/>
      </w:rPr>
    </w:pPr>
    <w:r w:rsidRPr="00967CD3">
      <w:rPr>
        <w:rFonts w:cs="Arial"/>
        <w:color w:val="999999"/>
        <w:sz w:val="16"/>
        <w:szCs w:val="16"/>
      </w:rPr>
      <w:t>PO Box 24 Deakin West, ACT 2600</w:t>
    </w:r>
  </w:p>
  <w:p w:rsidR="00450D23" w:rsidRPr="00967CD3" w:rsidRDefault="00450D23" w:rsidP="00450D23">
    <w:pPr>
      <w:pStyle w:val="Footer"/>
      <w:jc w:val="center"/>
      <w:rPr>
        <w:rFonts w:cs="Arial"/>
        <w:color w:val="999999"/>
        <w:sz w:val="16"/>
        <w:szCs w:val="16"/>
      </w:rPr>
    </w:pPr>
    <w:r w:rsidRPr="00967CD3">
      <w:rPr>
        <w:rFonts w:cs="Arial"/>
        <w:color w:val="999999"/>
        <w:sz w:val="16"/>
        <w:szCs w:val="16"/>
      </w:rPr>
      <w:t>ABN: 85 363 187 904</w:t>
    </w:r>
  </w:p>
  <w:p w:rsidR="00450D23" w:rsidRPr="00967CD3" w:rsidRDefault="00450D23" w:rsidP="00450D23">
    <w:pPr>
      <w:pStyle w:val="Footer"/>
      <w:jc w:val="center"/>
      <w:rPr>
        <w:rFonts w:cs="Arial"/>
        <w:color w:val="999999"/>
        <w:sz w:val="16"/>
        <w:szCs w:val="16"/>
      </w:rPr>
    </w:pPr>
    <w:r w:rsidRPr="00967CD3">
      <w:rPr>
        <w:rFonts w:cs="Arial"/>
        <w:color w:val="999999"/>
        <w:sz w:val="16"/>
        <w:szCs w:val="16"/>
      </w:rPr>
      <w:t xml:space="preserve">t: +61 2 6232 4433 </w:t>
    </w:r>
    <w:r w:rsidRPr="00967CD3">
      <w:rPr>
        <w:rFonts w:cs="Arial"/>
        <w:color w:val="999999"/>
        <w:sz w:val="16"/>
        <w:szCs w:val="16"/>
      </w:rPr>
      <w:sym w:font="Symbol" w:char="F0E7"/>
    </w:r>
    <w:r w:rsidRPr="00967CD3">
      <w:rPr>
        <w:rFonts w:cs="Arial"/>
        <w:color w:val="999999"/>
        <w:sz w:val="16"/>
        <w:szCs w:val="16"/>
      </w:rPr>
      <w:t>f: +61 2 6232 4434</w:t>
    </w:r>
  </w:p>
  <w:p w:rsidR="00450D23" w:rsidRDefault="00450D23" w:rsidP="00450D23">
    <w:pPr>
      <w:pStyle w:val="Footer"/>
      <w:jc w:val="center"/>
      <w:rPr>
        <w:rStyle w:val="Hyperlink"/>
        <w:rFonts w:cs="Arial"/>
        <w:color w:val="808080"/>
        <w:sz w:val="16"/>
        <w:szCs w:val="16"/>
      </w:rPr>
    </w:pPr>
    <w:r w:rsidRPr="00967CD3">
      <w:rPr>
        <w:rFonts w:cs="Arial"/>
        <w:color w:val="808080"/>
        <w:sz w:val="16"/>
        <w:szCs w:val="16"/>
      </w:rPr>
      <w:t xml:space="preserve">w: </w:t>
    </w:r>
    <w:hyperlink r:id="rId1" w:history="1">
      <w:r w:rsidRPr="00967CD3">
        <w:rPr>
          <w:rStyle w:val="Hyperlink"/>
          <w:rFonts w:cs="Arial"/>
          <w:color w:val="808080"/>
          <w:sz w:val="16"/>
          <w:szCs w:val="16"/>
        </w:rPr>
        <w:t>www.palliativecare.org.au</w:t>
      </w:r>
    </w:hyperlink>
    <w:r w:rsidRPr="00967CD3">
      <w:rPr>
        <w:rFonts w:cs="Arial"/>
        <w:color w:val="808080"/>
        <w:sz w:val="16"/>
        <w:szCs w:val="16"/>
      </w:rPr>
      <w:t xml:space="preserve"> </w:t>
    </w:r>
    <w:r w:rsidRPr="00967CD3">
      <w:rPr>
        <w:rFonts w:cs="Arial"/>
        <w:color w:val="808080"/>
        <w:sz w:val="16"/>
        <w:szCs w:val="16"/>
      </w:rPr>
      <w:sym w:font="Symbol" w:char="F0E7"/>
    </w:r>
    <w:r w:rsidRPr="00967CD3">
      <w:rPr>
        <w:rFonts w:cs="Arial"/>
        <w:color w:val="808080"/>
        <w:sz w:val="16"/>
        <w:szCs w:val="16"/>
      </w:rPr>
      <w:t xml:space="preserve">e: </w:t>
    </w:r>
    <w:hyperlink r:id="rId2" w:history="1">
      <w:r w:rsidRPr="00967CD3">
        <w:rPr>
          <w:rStyle w:val="Hyperlink"/>
          <w:rFonts w:cs="Arial"/>
          <w:color w:val="808080"/>
          <w:sz w:val="16"/>
          <w:szCs w:val="16"/>
        </w:rPr>
        <w:t>pcainc@palliativecare.org.au</w:t>
      </w:r>
    </w:hyperlink>
  </w:p>
  <w:p w:rsidR="007424DF" w:rsidRPr="007424DF" w:rsidRDefault="007424DF" w:rsidP="00450D23">
    <w:pPr>
      <w:pStyle w:val="Footer"/>
      <w:jc w:val="center"/>
      <w:rPr>
        <w:rFonts w:cs="Arial"/>
        <w:color w:val="999999"/>
        <w:sz w:val="6"/>
        <w:szCs w:val="6"/>
      </w:rPr>
    </w:pPr>
  </w:p>
  <w:p w:rsidR="007424DF" w:rsidRPr="00450D23" w:rsidRDefault="007424DF" w:rsidP="00450D23">
    <w:pPr>
      <w:pStyle w:val="Footer"/>
      <w:jc w:val="center"/>
      <w:rPr>
        <w:rFonts w:cs="Arial"/>
        <w:color w:val="808080"/>
        <w:sz w:val="16"/>
        <w:szCs w:val="16"/>
      </w:rPr>
    </w:pPr>
    <w:r w:rsidRPr="00C55EC6">
      <w:rPr>
        <w:color w:val="C00000"/>
        <w:sz w:val="15"/>
        <w:szCs w:val="15"/>
      </w:rPr>
      <w:t>Palliative Care Australia and the National P</w:t>
    </w:r>
    <w:r>
      <w:rPr>
        <w:color w:val="C00000"/>
        <w:sz w:val="15"/>
        <w:szCs w:val="15"/>
      </w:rPr>
      <w:t xml:space="preserve">alliative Care Grant Recipients’ </w:t>
    </w:r>
    <w:r w:rsidRPr="00C55EC6">
      <w:rPr>
        <w:color w:val="C00000"/>
        <w:sz w:val="15"/>
        <w:szCs w:val="15"/>
      </w:rPr>
      <w:t>Forum are funded by the Australian Government Department of Health</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C65" w:rsidRPr="00967CD3" w:rsidRDefault="00804C65" w:rsidP="00804C65">
    <w:pPr>
      <w:pStyle w:val="Footer"/>
      <w:jc w:val="center"/>
      <w:rPr>
        <w:rFonts w:cs="Arial"/>
        <w:color w:val="999999"/>
        <w:sz w:val="16"/>
        <w:szCs w:val="16"/>
      </w:rPr>
    </w:pPr>
    <w:r w:rsidRPr="00967CD3">
      <w:rPr>
        <w:rFonts w:cs="Arial"/>
        <w:color w:val="999999"/>
        <w:sz w:val="16"/>
        <w:szCs w:val="16"/>
      </w:rPr>
      <w:t xml:space="preserve">Level </w:t>
    </w:r>
    <w:r w:rsidR="00F0136E" w:rsidRPr="00967CD3">
      <w:rPr>
        <w:rFonts w:cs="Arial"/>
        <w:color w:val="999999"/>
        <w:sz w:val="16"/>
        <w:szCs w:val="16"/>
      </w:rPr>
      <w:t>1, 21 Napier Close, Deakin, ACT</w:t>
    </w:r>
    <w:r w:rsidRPr="00967CD3">
      <w:rPr>
        <w:rFonts w:cs="Arial"/>
        <w:color w:val="999999"/>
        <w:sz w:val="16"/>
        <w:szCs w:val="16"/>
      </w:rPr>
      <w:t xml:space="preserve"> 2600</w:t>
    </w:r>
  </w:p>
  <w:p w:rsidR="00804C65" w:rsidRPr="00967CD3" w:rsidRDefault="00804C65" w:rsidP="00804C65">
    <w:pPr>
      <w:pStyle w:val="Footer"/>
      <w:jc w:val="center"/>
      <w:rPr>
        <w:rFonts w:cs="Arial"/>
        <w:color w:val="999999"/>
        <w:sz w:val="16"/>
        <w:szCs w:val="16"/>
      </w:rPr>
    </w:pPr>
    <w:r w:rsidRPr="00967CD3">
      <w:rPr>
        <w:rFonts w:cs="Arial"/>
        <w:color w:val="999999"/>
        <w:sz w:val="16"/>
        <w:szCs w:val="16"/>
      </w:rPr>
      <w:t>PO Box 24 Deakin West, ACT 2600</w:t>
    </w:r>
  </w:p>
  <w:p w:rsidR="00804C65" w:rsidRPr="00967CD3" w:rsidRDefault="00804C65" w:rsidP="00804C65">
    <w:pPr>
      <w:pStyle w:val="Footer"/>
      <w:jc w:val="center"/>
      <w:rPr>
        <w:rFonts w:cs="Arial"/>
        <w:color w:val="999999"/>
        <w:sz w:val="16"/>
        <w:szCs w:val="16"/>
      </w:rPr>
    </w:pPr>
    <w:r w:rsidRPr="00967CD3">
      <w:rPr>
        <w:rFonts w:cs="Arial"/>
        <w:color w:val="999999"/>
        <w:sz w:val="16"/>
        <w:szCs w:val="16"/>
      </w:rPr>
      <w:t>ABN: 85 363 187 904</w:t>
    </w:r>
  </w:p>
  <w:p w:rsidR="00804C65" w:rsidRPr="00967CD3" w:rsidRDefault="00804C65" w:rsidP="00804C65">
    <w:pPr>
      <w:pStyle w:val="Footer"/>
      <w:jc w:val="center"/>
      <w:rPr>
        <w:rFonts w:cs="Arial"/>
        <w:color w:val="999999"/>
        <w:sz w:val="16"/>
        <w:szCs w:val="16"/>
      </w:rPr>
    </w:pPr>
    <w:r w:rsidRPr="00967CD3">
      <w:rPr>
        <w:rFonts w:cs="Arial"/>
        <w:color w:val="999999"/>
        <w:sz w:val="16"/>
        <w:szCs w:val="16"/>
      </w:rPr>
      <w:t xml:space="preserve">t: +61 2 6232 4433 </w:t>
    </w:r>
    <w:r w:rsidRPr="00967CD3">
      <w:rPr>
        <w:rFonts w:cs="Arial"/>
        <w:color w:val="999999"/>
        <w:sz w:val="16"/>
        <w:szCs w:val="16"/>
      </w:rPr>
      <w:sym w:font="Symbol" w:char="F0E7"/>
    </w:r>
    <w:r w:rsidRPr="00967CD3">
      <w:rPr>
        <w:rFonts w:cs="Arial"/>
        <w:color w:val="999999"/>
        <w:sz w:val="16"/>
        <w:szCs w:val="16"/>
      </w:rPr>
      <w:t>f: +61 2 6232 4434</w:t>
    </w:r>
  </w:p>
  <w:p w:rsidR="00110477" w:rsidRPr="00967CD3" w:rsidRDefault="00804C65" w:rsidP="00804C65">
    <w:pPr>
      <w:pStyle w:val="Footer"/>
      <w:jc w:val="center"/>
      <w:rPr>
        <w:rFonts w:cs="Arial"/>
        <w:color w:val="808080"/>
        <w:sz w:val="16"/>
        <w:szCs w:val="16"/>
      </w:rPr>
    </w:pPr>
    <w:r w:rsidRPr="00967CD3">
      <w:rPr>
        <w:rFonts w:cs="Arial"/>
        <w:color w:val="808080"/>
        <w:sz w:val="16"/>
        <w:szCs w:val="16"/>
      </w:rPr>
      <w:t xml:space="preserve">w: </w:t>
    </w:r>
    <w:hyperlink r:id="rId1" w:history="1">
      <w:r w:rsidRPr="00967CD3">
        <w:rPr>
          <w:rStyle w:val="Hyperlink"/>
          <w:rFonts w:cs="Arial"/>
          <w:color w:val="808080"/>
          <w:sz w:val="16"/>
          <w:szCs w:val="16"/>
        </w:rPr>
        <w:t>www.palliativecare.org.au</w:t>
      </w:r>
    </w:hyperlink>
    <w:r w:rsidRPr="00967CD3">
      <w:rPr>
        <w:rFonts w:cs="Arial"/>
        <w:color w:val="808080"/>
        <w:sz w:val="16"/>
        <w:szCs w:val="16"/>
      </w:rPr>
      <w:t xml:space="preserve"> </w:t>
    </w:r>
    <w:r w:rsidRPr="00967CD3">
      <w:rPr>
        <w:rFonts w:cs="Arial"/>
        <w:color w:val="808080"/>
        <w:sz w:val="16"/>
        <w:szCs w:val="16"/>
      </w:rPr>
      <w:sym w:font="Symbol" w:char="F0E7"/>
    </w:r>
    <w:r w:rsidRPr="00967CD3">
      <w:rPr>
        <w:rFonts w:cs="Arial"/>
        <w:color w:val="808080"/>
        <w:sz w:val="16"/>
        <w:szCs w:val="16"/>
      </w:rPr>
      <w:t xml:space="preserve">e: </w:t>
    </w:r>
    <w:hyperlink r:id="rId2" w:history="1">
      <w:r w:rsidRPr="00967CD3">
        <w:rPr>
          <w:rStyle w:val="Hyperlink"/>
          <w:rFonts w:cs="Arial"/>
          <w:color w:val="808080"/>
          <w:sz w:val="16"/>
          <w:szCs w:val="16"/>
        </w:rPr>
        <w:t>pcainc@palliativecare.org.au</w:t>
      </w:r>
    </w:hyperlink>
    <w:r w:rsidRPr="00967CD3">
      <w:rPr>
        <w:rFonts w:cs="Arial"/>
        <w:color w:val="999999"/>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2B6D" w:rsidRDefault="00912B6D" w:rsidP="0072523A">
      <w:r>
        <w:separator/>
      </w:r>
    </w:p>
  </w:footnote>
  <w:footnote w:type="continuationSeparator" w:id="0">
    <w:p w:rsidR="00912B6D" w:rsidRDefault="00912B6D" w:rsidP="007252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477" w:rsidRDefault="00110477" w:rsidP="0072523A">
    <w:pPr>
      <w:pStyle w:val="Header"/>
    </w:pPr>
    <w:r>
      <w:rPr>
        <w:noProof/>
        <w:lang w:eastAsia="en-AU"/>
      </w:rPr>
      <w:drawing>
        <wp:anchor distT="0" distB="0" distL="114300" distR="114300" simplePos="0" relativeHeight="251663360" behindDoc="1" locked="0" layoutInCell="1" allowOverlap="1" wp14:anchorId="49C25FFA" wp14:editId="40E8DB74">
          <wp:simplePos x="0" y="0"/>
          <wp:positionH relativeFrom="page">
            <wp:align>right</wp:align>
          </wp:positionH>
          <wp:positionV relativeFrom="paragraph">
            <wp:posOffset>-422910</wp:posOffset>
          </wp:positionV>
          <wp:extent cx="2341245" cy="1390650"/>
          <wp:effectExtent l="0" t="0" r="1905" b="0"/>
          <wp:wrapTight wrapText="bothSides">
            <wp:wrapPolygon edited="0">
              <wp:start x="0" y="0"/>
              <wp:lineTo x="0" y="21304"/>
              <wp:lineTo x="21442" y="21304"/>
              <wp:lineTo x="2144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b="16124"/>
                  <a:stretch/>
                </pic:blipFill>
                <pic:spPr bwMode="auto">
                  <a:xfrm>
                    <a:off x="0" y="0"/>
                    <a:ext cx="2341245" cy="1390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05445"/>
    <w:multiLevelType w:val="hybridMultilevel"/>
    <w:tmpl w:val="40F0B3FE"/>
    <w:lvl w:ilvl="0" w:tplc="A2A059D2">
      <w:start w:val="1"/>
      <w:numFmt w:val="bullet"/>
      <w:lvlText w:val="-"/>
      <w:lvlJc w:val="left"/>
      <w:pPr>
        <w:ind w:left="408"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4B6749"/>
    <w:multiLevelType w:val="hybridMultilevel"/>
    <w:tmpl w:val="4D700FF8"/>
    <w:lvl w:ilvl="0" w:tplc="0C090005">
      <w:start w:val="1"/>
      <w:numFmt w:val="bullet"/>
      <w:lvlText w:val=""/>
      <w:lvlJc w:val="left"/>
      <w:pPr>
        <w:ind w:left="408"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5D47D1"/>
    <w:multiLevelType w:val="hybridMultilevel"/>
    <w:tmpl w:val="BA8AC3F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3037E79"/>
    <w:multiLevelType w:val="hybridMultilevel"/>
    <w:tmpl w:val="6FA6A2B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8BD3A07"/>
    <w:multiLevelType w:val="hybridMultilevel"/>
    <w:tmpl w:val="97E6FC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1E486B9F"/>
    <w:multiLevelType w:val="hybridMultilevel"/>
    <w:tmpl w:val="28DA95C6"/>
    <w:lvl w:ilvl="0" w:tplc="A2A059D2">
      <w:start w:val="1"/>
      <w:numFmt w:val="bullet"/>
      <w:lvlText w:val="-"/>
      <w:lvlJc w:val="left"/>
      <w:pPr>
        <w:ind w:left="408" w:hanging="360"/>
      </w:pPr>
      <w:rPr>
        <w:rFonts w:ascii="Calibri" w:eastAsiaTheme="minorHAnsi" w:hAnsi="Calibri" w:cs="Calibri" w:hint="default"/>
      </w:rPr>
    </w:lvl>
    <w:lvl w:ilvl="1" w:tplc="0C090003" w:tentative="1">
      <w:start w:val="1"/>
      <w:numFmt w:val="bullet"/>
      <w:lvlText w:val="o"/>
      <w:lvlJc w:val="left"/>
      <w:pPr>
        <w:ind w:left="1128" w:hanging="360"/>
      </w:pPr>
      <w:rPr>
        <w:rFonts w:ascii="Courier New" w:hAnsi="Courier New" w:cs="Courier New" w:hint="default"/>
      </w:rPr>
    </w:lvl>
    <w:lvl w:ilvl="2" w:tplc="0C090005" w:tentative="1">
      <w:start w:val="1"/>
      <w:numFmt w:val="bullet"/>
      <w:lvlText w:val=""/>
      <w:lvlJc w:val="left"/>
      <w:pPr>
        <w:ind w:left="1848" w:hanging="360"/>
      </w:pPr>
      <w:rPr>
        <w:rFonts w:ascii="Wingdings" w:hAnsi="Wingdings" w:hint="default"/>
      </w:rPr>
    </w:lvl>
    <w:lvl w:ilvl="3" w:tplc="0C090001" w:tentative="1">
      <w:start w:val="1"/>
      <w:numFmt w:val="bullet"/>
      <w:lvlText w:val=""/>
      <w:lvlJc w:val="left"/>
      <w:pPr>
        <w:ind w:left="2568" w:hanging="360"/>
      </w:pPr>
      <w:rPr>
        <w:rFonts w:ascii="Symbol" w:hAnsi="Symbol" w:hint="default"/>
      </w:rPr>
    </w:lvl>
    <w:lvl w:ilvl="4" w:tplc="0C090003" w:tentative="1">
      <w:start w:val="1"/>
      <w:numFmt w:val="bullet"/>
      <w:lvlText w:val="o"/>
      <w:lvlJc w:val="left"/>
      <w:pPr>
        <w:ind w:left="3288" w:hanging="360"/>
      </w:pPr>
      <w:rPr>
        <w:rFonts w:ascii="Courier New" w:hAnsi="Courier New" w:cs="Courier New" w:hint="default"/>
      </w:rPr>
    </w:lvl>
    <w:lvl w:ilvl="5" w:tplc="0C090005" w:tentative="1">
      <w:start w:val="1"/>
      <w:numFmt w:val="bullet"/>
      <w:lvlText w:val=""/>
      <w:lvlJc w:val="left"/>
      <w:pPr>
        <w:ind w:left="4008" w:hanging="360"/>
      </w:pPr>
      <w:rPr>
        <w:rFonts w:ascii="Wingdings" w:hAnsi="Wingdings" w:hint="default"/>
      </w:rPr>
    </w:lvl>
    <w:lvl w:ilvl="6" w:tplc="0C090001" w:tentative="1">
      <w:start w:val="1"/>
      <w:numFmt w:val="bullet"/>
      <w:lvlText w:val=""/>
      <w:lvlJc w:val="left"/>
      <w:pPr>
        <w:ind w:left="4728" w:hanging="360"/>
      </w:pPr>
      <w:rPr>
        <w:rFonts w:ascii="Symbol" w:hAnsi="Symbol" w:hint="default"/>
      </w:rPr>
    </w:lvl>
    <w:lvl w:ilvl="7" w:tplc="0C090003" w:tentative="1">
      <w:start w:val="1"/>
      <w:numFmt w:val="bullet"/>
      <w:lvlText w:val="o"/>
      <w:lvlJc w:val="left"/>
      <w:pPr>
        <w:ind w:left="5448" w:hanging="360"/>
      </w:pPr>
      <w:rPr>
        <w:rFonts w:ascii="Courier New" w:hAnsi="Courier New" w:cs="Courier New" w:hint="default"/>
      </w:rPr>
    </w:lvl>
    <w:lvl w:ilvl="8" w:tplc="0C090005" w:tentative="1">
      <w:start w:val="1"/>
      <w:numFmt w:val="bullet"/>
      <w:lvlText w:val=""/>
      <w:lvlJc w:val="left"/>
      <w:pPr>
        <w:ind w:left="6168" w:hanging="360"/>
      </w:pPr>
      <w:rPr>
        <w:rFonts w:ascii="Wingdings" w:hAnsi="Wingdings" w:hint="default"/>
      </w:rPr>
    </w:lvl>
  </w:abstractNum>
  <w:abstractNum w:abstractNumId="6" w15:restartNumberingAfterBreak="0">
    <w:nsid w:val="2EDB3E7D"/>
    <w:multiLevelType w:val="hybridMultilevel"/>
    <w:tmpl w:val="0168668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FB03E73"/>
    <w:multiLevelType w:val="hybridMultilevel"/>
    <w:tmpl w:val="2E04A8B4"/>
    <w:lvl w:ilvl="0" w:tplc="0C090005">
      <w:start w:val="1"/>
      <w:numFmt w:val="bullet"/>
      <w:lvlText w:val=""/>
      <w:lvlJc w:val="left"/>
      <w:pPr>
        <w:ind w:left="408"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4916E8B"/>
    <w:multiLevelType w:val="hybridMultilevel"/>
    <w:tmpl w:val="0DC0DF7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39D19AE"/>
    <w:multiLevelType w:val="hybridMultilevel"/>
    <w:tmpl w:val="E16EBAD8"/>
    <w:lvl w:ilvl="0" w:tplc="A2A059D2">
      <w:start w:val="1"/>
      <w:numFmt w:val="bullet"/>
      <w:lvlText w:val="-"/>
      <w:lvlJc w:val="left"/>
      <w:pPr>
        <w:ind w:left="408"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BD2040C"/>
    <w:multiLevelType w:val="hybridMultilevel"/>
    <w:tmpl w:val="72F8FFCA"/>
    <w:lvl w:ilvl="0" w:tplc="0C090005">
      <w:start w:val="1"/>
      <w:numFmt w:val="bullet"/>
      <w:lvlText w:val=""/>
      <w:lvlJc w:val="left"/>
      <w:pPr>
        <w:ind w:left="360" w:hanging="360"/>
      </w:pPr>
      <w:rPr>
        <w:rFonts w:ascii="Wingdings" w:hAnsi="Wingdings" w:hint="default"/>
        <w:sz w:val="24"/>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3">
      <w:start w:val="1"/>
      <w:numFmt w:val="bullet"/>
      <w:lvlText w:val="o"/>
      <w:lvlJc w:val="left"/>
      <w:pPr>
        <w:ind w:left="2520" w:hanging="360"/>
      </w:pPr>
      <w:rPr>
        <w:rFonts w:ascii="Courier New" w:hAnsi="Courier New" w:cs="Courier New"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615A0CDF"/>
    <w:multiLevelType w:val="hybridMultilevel"/>
    <w:tmpl w:val="0100B13A"/>
    <w:lvl w:ilvl="0" w:tplc="0C090005">
      <w:start w:val="1"/>
      <w:numFmt w:val="bullet"/>
      <w:lvlText w:val=""/>
      <w:lvlJc w:val="left"/>
      <w:pPr>
        <w:ind w:left="408" w:hanging="360"/>
      </w:pPr>
      <w:rPr>
        <w:rFonts w:ascii="Wingdings" w:hAnsi="Wingdings" w:hint="default"/>
      </w:rPr>
    </w:lvl>
    <w:lvl w:ilvl="1" w:tplc="0C090003" w:tentative="1">
      <w:start w:val="1"/>
      <w:numFmt w:val="bullet"/>
      <w:lvlText w:val="o"/>
      <w:lvlJc w:val="left"/>
      <w:pPr>
        <w:ind w:left="1128" w:hanging="360"/>
      </w:pPr>
      <w:rPr>
        <w:rFonts w:ascii="Courier New" w:hAnsi="Courier New" w:cs="Courier New" w:hint="default"/>
      </w:rPr>
    </w:lvl>
    <w:lvl w:ilvl="2" w:tplc="0C090005" w:tentative="1">
      <w:start w:val="1"/>
      <w:numFmt w:val="bullet"/>
      <w:lvlText w:val=""/>
      <w:lvlJc w:val="left"/>
      <w:pPr>
        <w:ind w:left="1848" w:hanging="360"/>
      </w:pPr>
      <w:rPr>
        <w:rFonts w:ascii="Wingdings" w:hAnsi="Wingdings" w:hint="default"/>
      </w:rPr>
    </w:lvl>
    <w:lvl w:ilvl="3" w:tplc="0C090001" w:tentative="1">
      <w:start w:val="1"/>
      <w:numFmt w:val="bullet"/>
      <w:lvlText w:val=""/>
      <w:lvlJc w:val="left"/>
      <w:pPr>
        <w:ind w:left="2568" w:hanging="360"/>
      </w:pPr>
      <w:rPr>
        <w:rFonts w:ascii="Symbol" w:hAnsi="Symbol" w:hint="default"/>
      </w:rPr>
    </w:lvl>
    <w:lvl w:ilvl="4" w:tplc="0C090003" w:tentative="1">
      <w:start w:val="1"/>
      <w:numFmt w:val="bullet"/>
      <w:lvlText w:val="o"/>
      <w:lvlJc w:val="left"/>
      <w:pPr>
        <w:ind w:left="3288" w:hanging="360"/>
      </w:pPr>
      <w:rPr>
        <w:rFonts w:ascii="Courier New" w:hAnsi="Courier New" w:cs="Courier New" w:hint="default"/>
      </w:rPr>
    </w:lvl>
    <w:lvl w:ilvl="5" w:tplc="0C090005" w:tentative="1">
      <w:start w:val="1"/>
      <w:numFmt w:val="bullet"/>
      <w:lvlText w:val=""/>
      <w:lvlJc w:val="left"/>
      <w:pPr>
        <w:ind w:left="4008" w:hanging="360"/>
      </w:pPr>
      <w:rPr>
        <w:rFonts w:ascii="Wingdings" w:hAnsi="Wingdings" w:hint="default"/>
      </w:rPr>
    </w:lvl>
    <w:lvl w:ilvl="6" w:tplc="0C090001" w:tentative="1">
      <w:start w:val="1"/>
      <w:numFmt w:val="bullet"/>
      <w:lvlText w:val=""/>
      <w:lvlJc w:val="left"/>
      <w:pPr>
        <w:ind w:left="4728" w:hanging="360"/>
      </w:pPr>
      <w:rPr>
        <w:rFonts w:ascii="Symbol" w:hAnsi="Symbol" w:hint="default"/>
      </w:rPr>
    </w:lvl>
    <w:lvl w:ilvl="7" w:tplc="0C090003" w:tentative="1">
      <w:start w:val="1"/>
      <w:numFmt w:val="bullet"/>
      <w:lvlText w:val="o"/>
      <w:lvlJc w:val="left"/>
      <w:pPr>
        <w:ind w:left="5448" w:hanging="360"/>
      </w:pPr>
      <w:rPr>
        <w:rFonts w:ascii="Courier New" w:hAnsi="Courier New" w:cs="Courier New" w:hint="default"/>
      </w:rPr>
    </w:lvl>
    <w:lvl w:ilvl="8" w:tplc="0C090005" w:tentative="1">
      <w:start w:val="1"/>
      <w:numFmt w:val="bullet"/>
      <w:lvlText w:val=""/>
      <w:lvlJc w:val="left"/>
      <w:pPr>
        <w:ind w:left="6168" w:hanging="360"/>
      </w:pPr>
      <w:rPr>
        <w:rFonts w:ascii="Wingdings" w:hAnsi="Wingdings" w:hint="default"/>
      </w:rPr>
    </w:lvl>
  </w:abstractNum>
  <w:abstractNum w:abstractNumId="12" w15:restartNumberingAfterBreak="0">
    <w:nsid w:val="626918A6"/>
    <w:multiLevelType w:val="hybridMultilevel"/>
    <w:tmpl w:val="6E006C9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98F5585"/>
    <w:multiLevelType w:val="hybridMultilevel"/>
    <w:tmpl w:val="9B02170A"/>
    <w:lvl w:ilvl="0" w:tplc="98428FA2">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D6C1EB1"/>
    <w:multiLevelType w:val="hybridMultilevel"/>
    <w:tmpl w:val="603A1AFA"/>
    <w:lvl w:ilvl="0" w:tplc="D87496E2">
      <w:numFmt w:val="bullet"/>
      <w:lvlText w:val="-"/>
      <w:lvlJc w:val="left"/>
      <w:pPr>
        <w:ind w:left="2520" w:hanging="360"/>
      </w:pPr>
      <w:rPr>
        <w:rFonts w:ascii="Calibri" w:eastAsia="Times New Roman" w:hAnsi="Calibri" w:cs="Calibri" w:hint="default"/>
        <w:sz w:val="24"/>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15" w15:restartNumberingAfterBreak="0">
    <w:nsid w:val="7C884DE6"/>
    <w:multiLevelType w:val="hybridMultilevel"/>
    <w:tmpl w:val="4692DDA4"/>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3"/>
  </w:num>
  <w:num w:numId="2">
    <w:abstractNumId w:val="5"/>
  </w:num>
  <w:num w:numId="3">
    <w:abstractNumId w:val="9"/>
  </w:num>
  <w:num w:numId="4">
    <w:abstractNumId w:val="0"/>
  </w:num>
  <w:num w:numId="5">
    <w:abstractNumId w:val="15"/>
  </w:num>
  <w:num w:numId="6">
    <w:abstractNumId w:val="3"/>
  </w:num>
  <w:num w:numId="7">
    <w:abstractNumId w:val="11"/>
  </w:num>
  <w:num w:numId="8">
    <w:abstractNumId w:val="7"/>
  </w:num>
  <w:num w:numId="9">
    <w:abstractNumId w:val="1"/>
  </w:num>
  <w:num w:numId="10">
    <w:abstractNumId w:val="4"/>
  </w:num>
  <w:num w:numId="11">
    <w:abstractNumId w:val="6"/>
  </w:num>
  <w:num w:numId="12">
    <w:abstractNumId w:val="10"/>
  </w:num>
  <w:num w:numId="13">
    <w:abstractNumId w:val="12"/>
  </w:num>
  <w:num w:numId="14">
    <w:abstractNumId w:val="2"/>
  </w:num>
  <w:num w:numId="15">
    <w:abstractNumId w:val="8"/>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212"/>
    <w:rsid w:val="000265E2"/>
    <w:rsid w:val="000375EC"/>
    <w:rsid w:val="00092537"/>
    <w:rsid w:val="000948D6"/>
    <w:rsid w:val="000E1E19"/>
    <w:rsid w:val="000E75B3"/>
    <w:rsid w:val="000F22A9"/>
    <w:rsid w:val="00110477"/>
    <w:rsid w:val="001C5BD9"/>
    <w:rsid w:val="001F1254"/>
    <w:rsid w:val="002028A9"/>
    <w:rsid w:val="002272F1"/>
    <w:rsid w:val="002403C5"/>
    <w:rsid w:val="00240401"/>
    <w:rsid w:val="00291386"/>
    <w:rsid w:val="002A7C53"/>
    <w:rsid w:val="0030138A"/>
    <w:rsid w:val="003203CA"/>
    <w:rsid w:val="00331CA5"/>
    <w:rsid w:val="00336FB8"/>
    <w:rsid w:val="00346928"/>
    <w:rsid w:val="003B1886"/>
    <w:rsid w:val="003B2D5A"/>
    <w:rsid w:val="003E24DC"/>
    <w:rsid w:val="003F3366"/>
    <w:rsid w:val="00416B9C"/>
    <w:rsid w:val="00421B9D"/>
    <w:rsid w:val="004344F5"/>
    <w:rsid w:val="00435A80"/>
    <w:rsid w:val="004503D5"/>
    <w:rsid w:val="00450D23"/>
    <w:rsid w:val="004A178B"/>
    <w:rsid w:val="004B1691"/>
    <w:rsid w:val="004B72B6"/>
    <w:rsid w:val="004C27A8"/>
    <w:rsid w:val="004F131D"/>
    <w:rsid w:val="004F1ADB"/>
    <w:rsid w:val="005410BC"/>
    <w:rsid w:val="005654D3"/>
    <w:rsid w:val="005757AB"/>
    <w:rsid w:val="005D552A"/>
    <w:rsid w:val="005E541D"/>
    <w:rsid w:val="005F3963"/>
    <w:rsid w:val="0060596D"/>
    <w:rsid w:val="00624CBF"/>
    <w:rsid w:val="00650BE0"/>
    <w:rsid w:val="00667311"/>
    <w:rsid w:val="00675ABB"/>
    <w:rsid w:val="00685614"/>
    <w:rsid w:val="006C32AB"/>
    <w:rsid w:val="006C6EED"/>
    <w:rsid w:val="006F3E44"/>
    <w:rsid w:val="0072079C"/>
    <w:rsid w:val="00725061"/>
    <w:rsid w:val="0072523A"/>
    <w:rsid w:val="007424DF"/>
    <w:rsid w:val="0075436B"/>
    <w:rsid w:val="007D14B4"/>
    <w:rsid w:val="007F464A"/>
    <w:rsid w:val="00804C65"/>
    <w:rsid w:val="00822C48"/>
    <w:rsid w:val="0084016E"/>
    <w:rsid w:val="00864FF2"/>
    <w:rsid w:val="00881D4E"/>
    <w:rsid w:val="008823B5"/>
    <w:rsid w:val="0089560A"/>
    <w:rsid w:val="008A1777"/>
    <w:rsid w:val="008D4757"/>
    <w:rsid w:val="008F6722"/>
    <w:rsid w:val="00902F17"/>
    <w:rsid w:val="00912B6D"/>
    <w:rsid w:val="00914180"/>
    <w:rsid w:val="00934176"/>
    <w:rsid w:val="00961212"/>
    <w:rsid w:val="00967CD3"/>
    <w:rsid w:val="009A3D6A"/>
    <w:rsid w:val="00A10599"/>
    <w:rsid w:val="00A13285"/>
    <w:rsid w:val="00A262D3"/>
    <w:rsid w:val="00A365AC"/>
    <w:rsid w:val="00A63A67"/>
    <w:rsid w:val="00A77DCF"/>
    <w:rsid w:val="00AA6054"/>
    <w:rsid w:val="00AE40D3"/>
    <w:rsid w:val="00B21257"/>
    <w:rsid w:val="00B37DFE"/>
    <w:rsid w:val="00B43F91"/>
    <w:rsid w:val="00B45F75"/>
    <w:rsid w:val="00B571E5"/>
    <w:rsid w:val="00B73D0D"/>
    <w:rsid w:val="00C35F05"/>
    <w:rsid w:val="00C4342F"/>
    <w:rsid w:val="00C47503"/>
    <w:rsid w:val="00CC6085"/>
    <w:rsid w:val="00CF6693"/>
    <w:rsid w:val="00D53404"/>
    <w:rsid w:val="00D54478"/>
    <w:rsid w:val="00D6399B"/>
    <w:rsid w:val="00D8655E"/>
    <w:rsid w:val="00D946C0"/>
    <w:rsid w:val="00DE79D4"/>
    <w:rsid w:val="00DF0C80"/>
    <w:rsid w:val="00E34652"/>
    <w:rsid w:val="00E34AB4"/>
    <w:rsid w:val="00E54CCC"/>
    <w:rsid w:val="00E63FD0"/>
    <w:rsid w:val="00E734CD"/>
    <w:rsid w:val="00E97A86"/>
    <w:rsid w:val="00EB5FB8"/>
    <w:rsid w:val="00EC251B"/>
    <w:rsid w:val="00EE097B"/>
    <w:rsid w:val="00F0136E"/>
    <w:rsid w:val="00F314C7"/>
    <w:rsid w:val="00F52EC4"/>
    <w:rsid w:val="00F747D7"/>
    <w:rsid w:val="00FA36F8"/>
    <w:rsid w:val="00FC0302"/>
    <w:rsid w:val="00FF6A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3120D5B-5E14-47A3-8773-E719F0F91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523A"/>
    <w:pPr>
      <w:spacing w:line="276" w:lineRule="auto"/>
    </w:pPr>
  </w:style>
  <w:style w:type="paragraph" w:styleId="Heading1">
    <w:name w:val="heading 1"/>
    <w:aliases w:val="Heading"/>
    <w:basedOn w:val="Heading2"/>
    <w:next w:val="Normal"/>
    <w:link w:val="Heading1Char"/>
    <w:uiPriority w:val="9"/>
    <w:qFormat/>
    <w:rsid w:val="00961212"/>
    <w:pPr>
      <w:outlineLvl w:val="0"/>
    </w:pPr>
  </w:style>
  <w:style w:type="paragraph" w:styleId="Heading2">
    <w:name w:val="heading 2"/>
    <w:basedOn w:val="Normal"/>
    <w:next w:val="Normal"/>
    <w:link w:val="Heading2Char"/>
    <w:uiPriority w:val="9"/>
    <w:unhideWhenUsed/>
    <w:rsid w:val="00961212"/>
    <w:pPr>
      <w:pBdr>
        <w:bottom w:val="single" w:sz="4" w:space="1" w:color="auto"/>
      </w:pBdr>
      <w:spacing w:before="200" w:after="200" w:line="360" w:lineRule="auto"/>
      <w:outlineLvl w:val="1"/>
    </w:pPr>
    <w:rPr>
      <w:b/>
      <w:color w:val="FF4539"/>
      <w:sz w:val="36"/>
      <w:szCs w:val="36"/>
    </w:rPr>
  </w:style>
  <w:style w:type="paragraph" w:styleId="Heading3">
    <w:name w:val="heading 3"/>
    <w:aliases w:val="Sub-heading"/>
    <w:basedOn w:val="Normal"/>
    <w:next w:val="Normal"/>
    <w:link w:val="Heading3Char"/>
    <w:uiPriority w:val="9"/>
    <w:unhideWhenUsed/>
    <w:qFormat/>
    <w:rsid w:val="00961212"/>
    <w:pPr>
      <w:spacing w:after="200"/>
      <w:outlineLvl w:val="2"/>
    </w:pPr>
    <w:rPr>
      <w:b/>
      <w:color w:val="FF4539"/>
      <w:sz w:val="28"/>
      <w:szCs w:val="28"/>
    </w:rPr>
  </w:style>
  <w:style w:type="paragraph" w:styleId="Heading4">
    <w:name w:val="heading 4"/>
    <w:aliases w:val="Sub-heading 2"/>
    <w:basedOn w:val="Heading3"/>
    <w:next w:val="Normal"/>
    <w:link w:val="Heading4Char"/>
    <w:uiPriority w:val="9"/>
    <w:unhideWhenUsed/>
    <w:qFormat/>
    <w:rsid w:val="00961212"/>
    <w:pPr>
      <w:outlineLvl w:val="3"/>
    </w:pPr>
    <w:rPr>
      <w:color w:val="00305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612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1212"/>
  </w:style>
  <w:style w:type="paragraph" w:styleId="Footer">
    <w:name w:val="footer"/>
    <w:basedOn w:val="Normal"/>
    <w:link w:val="FooterChar"/>
    <w:unhideWhenUsed/>
    <w:rsid w:val="009612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1212"/>
  </w:style>
  <w:style w:type="character" w:styleId="Emphasis">
    <w:name w:val="Emphasis"/>
    <w:aliases w:val="PCA"/>
    <w:uiPriority w:val="20"/>
    <w:qFormat/>
    <w:rsid w:val="00961212"/>
    <w:rPr>
      <w:b/>
      <w:color w:val="003057"/>
    </w:rPr>
  </w:style>
  <w:style w:type="paragraph" w:styleId="Title">
    <w:name w:val="Title"/>
    <w:basedOn w:val="Normal"/>
    <w:next w:val="Normal"/>
    <w:link w:val="TitleChar"/>
    <w:uiPriority w:val="10"/>
    <w:qFormat/>
    <w:rsid w:val="004C27A8"/>
    <w:pPr>
      <w:spacing w:before="600" w:after="200"/>
    </w:pPr>
    <w:rPr>
      <w:b/>
      <w:color w:val="003057"/>
      <w:sz w:val="48"/>
      <w:szCs w:val="48"/>
    </w:rPr>
  </w:style>
  <w:style w:type="character" w:customStyle="1" w:styleId="TitleChar">
    <w:name w:val="Title Char"/>
    <w:basedOn w:val="DefaultParagraphFont"/>
    <w:link w:val="Title"/>
    <w:uiPriority w:val="10"/>
    <w:rsid w:val="004C27A8"/>
    <w:rPr>
      <w:b/>
      <w:color w:val="003057"/>
      <w:sz w:val="48"/>
      <w:szCs w:val="48"/>
    </w:rPr>
  </w:style>
  <w:style w:type="character" w:customStyle="1" w:styleId="Heading2Char">
    <w:name w:val="Heading 2 Char"/>
    <w:basedOn w:val="DefaultParagraphFont"/>
    <w:link w:val="Heading2"/>
    <w:uiPriority w:val="9"/>
    <w:rsid w:val="00961212"/>
    <w:rPr>
      <w:b/>
      <w:color w:val="FF4539"/>
      <w:sz w:val="36"/>
      <w:szCs w:val="36"/>
    </w:rPr>
  </w:style>
  <w:style w:type="character" w:customStyle="1" w:styleId="Heading1Char">
    <w:name w:val="Heading 1 Char"/>
    <w:aliases w:val="Heading Char"/>
    <w:basedOn w:val="DefaultParagraphFont"/>
    <w:link w:val="Heading1"/>
    <w:uiPriority w:val="9"/>
    <w:rsid w:val="00961212"/>
    <w:rPr>
      <w:b/>
      <w:color w:val="FF4539"/>
      <w:sz w:val="36"/>
      <w:szCs w:val="36"/>
    </w:rPr>
  </w:style>
  <w:style w:type="character" w:customStyle="1" w:styleId="Heading3Char">
    <w:name w:val="Heading 3 Char"/>
    <w:aliases w:val="Sub-heading Char"/>
    <w:basedOn w:val="DefaultParagraphFont"/>
    <w:link w:val="Heading3"/>
    <w:uiPriority w:val="9"/>
    <w:rsid w:val="00961212"/>
    <w:rPr>
      <w:b/>
      <w:color w:val="FF4539"/>
      <w:sz w:val="28"/>
      <w:szCs w:val="28"/>
    </w:rPr>
  </w:style>
  <w:style w:type="paragraph" w:styleId="ListParagraph">
    <w:name w:val="List Paragraph"/>
    <w:basedOn w:val="Normal"/>
    <w:link w:val="ListParagraphChar"/>
    <w:uiPriority w:val="34"/>
    <w:qFormat/>
    <w:rsid w:val="00961212"/>
    <w:pPr>
      <w:ind w:left="720"/>
      <w:contextualSpacing/>
    </w:pPr>
  </w:style>
  <w:style w:type="character" w:customStyle="1" w:styleId="Heading4Char">
    <w:name w:val="Heading 4 Char"/>
    <w:aliases w:val="Sub-heading 2 Char"/>
    <w:basedOn w:val="DefaultParagraphFont"/>
    <w:link w:val="Heading4"/>
    <w:uiPriority w:val="9"/>
    <w:rsid w:val="00961212"/>
    <w:rPr>
      <w:b/>
      <w:color w:val="003057"/>
      <w:sz w:val="28"/>
      <w:szCs w:val="28"/>
    </w:rPr>
  </w:style>
  <w:style w:type="paragraph" w:styleId="FootnoteText">
    <w:name w:val="footnote text"/>
    <w:basedOn w:val="Normal"/>
    <w:link w:val="FootnoteTextChar"/>
    <w:uiPriority w:val="99"/>
    <w:semiHidden/>
    <w:unhideWhenUsed/>
    <w:rsid w:val="000375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375EC"/>
    <w:rPr>
      <w:sz w:val="20"/>
      <w:szCs w:val="20"/>
    </w:rPr>
  </w:style>
  <w:style w:type="character" w:styleId="FootnoteReference">
    <w:name w:val="footnote reference"/>
    <w:basedOn w:val="DefaultParagraphFont"/>
    <w:uiPriority w:val="99"/>
    <w:semiHidden/>
    <w:unhideWhenUsed/>
    <w:rsid w:val="000375EC"/>
    <w:rPr>
      <w:vertAlign w:val="superscript"/>
    </w:rPr>
  </w:style>
  <w:style w:type="character" w:styleId="Hyperlink">
    <w:name w:val="Hyperlink"/>
    <w:basedOn w:val="DefaultParagraphFont"/>
    <w:uiPriority w:val="99"/>
    <w:unhideWhenUsed/>
    <w:rsid w:val="00914180"/>
    <w:rPr>
      <w:color w:val="0563C1" w:themeColor="hyperlink"/>
      <w:u w:val="single"/>
    </w:rPr>
  </w:style>
  <w:style w:type="character" w:styleId="SubtleEmphasis">
    <w:name w:val="Subtle Emphasis"/>
    <w:basedOn w:val="DefaultParagraphFont"/>
    <w:uiPriority w:val="19"/>
    <w:qFormat/>
    <w:rsid w:val="00EE097B"/>
    <w:rPr>
      <w:i/>
      <w:iCs/>
      <w:color w:val="404040" w:themeColor="text1" w:themeTint="BF"/>
    </w:rPr>
  </w:style>
  <w:style w:type="paragraph" w:styleId="Subtitle">
    <w:name w:val="Subtitle"/>
    <w:aliases w:val="Footnoting"/>
    <w:basedOn w:val="FootnoteText"/>
    <w:next w:val="Normal"/>
    <w:link w:val="SubtitleChar"/>
    <w:uiPriority w:val="11"/>
    <w:qFormat/>
    <w:rsid w:val="00EE097B"/>
    <w:rPr>
      <w:sz w:val="16"/>
      <w:szCs w:val="16"/>
    </w:rPr>
  </w:style>
  <w:style w:type="character" w:customStyle="1" w:styleId="SubtitleChar">
    <w:name w:val="Subtitle Char"/>
    <w:aliases w:val="Footnoting Char"/>
    <w:basedOn w:val="DefaultParagraphFont"/>
    <w:link w:val="Subtitle"/>
    <w:uiPriority w:val="11"/>
    <w:rsid w:val="00EE097B"/>
    <w:rPr>
      <w:sz w:val="16"/>
      <w:szCs w:val="16"/>
    </w:rPr>
  </w:style>
  <w:style w:type="table" w:styleId="TableGrid">
    <w:name w:val="Table Grid"/>
    <w:basedOn w:val="TableNormal"/>
    <w:uiPriority w:val="39"/>
    <w:rsid w:val="000E75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35F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5F05"/>
    <w:rPr>
      <w:rFonts w:ascii="Segoe UI" w:hAnsi="Segoe UI" w:cs="Segoe UI"/>
      <w:sz w:val="18"/>
      <w:szCs w:val="18"/>
    </w:rPr>
  </w:style>
  <w:style w:type="character" w:styleId="PlaceholderText">
    <w:name w:val="Placeholder Text"/>
    <w:basedOn w:val="DefaultParagraphFont"/>
    <w:uiPriority w:val="99"/>
    <w:semiHidden/>
    <w:rsid w:val="00291386"/>
    <w:rPr>
      <w:color w:val="808080"/>
    </w:rPr>
  </w:style>
  <w:style w:type="paragraph" w:customStyle="1" w:styleId="Default">
    <w:name w:val="Default"/>
    <w:rsid w:val="00A13285"/>
    <w:pPr>
      <w:autoSpaceDE w:val="0"/>
      <w:autoSpaceDN w:val="0"/>
      <w:adjustRightInd w:val="0"/>
      <w:spacing w:after="0" w:line="240" w:lineRule="auto"/>
    </w:pPr>
    <w:rPr>
      <w:rFonts w:ascii="Calibri" w:hAnsi="Calibri" w:cs="Calibri"/>
      <w:color w:val="000000"/>
      <w:sz w:val="24"/>
      <w:szCs w:val="24"/>
    </w:rPr>
  </w:style>
  <w:style w:type="character" w:customStyle="1" w:styleId="ListParagraphChar">
    <w:name w:val="List Paragraph Char"/>
    <w:basedOn w:val="DefaultParagraphFont"/>
    <w:link w:val="ListParagraph"/>
    <w:uiPriority w:val="34"/>
    <w:locked/>
    <w:rsid w:val="00675ABB"/>
  </w:style>
  <w:style w:type="character" w:styleId="CommentReference">
    <w:name w:val="annotation reference"/>
    <w:basedOn w:val="DefaultParagraphFont"/>
    <w:uiPriority w:val="99"/>
    <w:semiHidden/>
    <w:unhideWhenUsed/>
    <w:rsid w:val="002028A9"/>
    <w:rPr>
      <w:sz w:val="16"/>
      <w:szCs w:val="16"/>
    </w:rPr>
  </w:style>
  <w:style w:type="paragraph" w:styleId="CommentText">
    <w:name w:val="annotation text"/>
    <w:basedOn w:val="Normal"/>
    <w:link w:val="CommentTextChar"/>
    <w:uiPriority w:val="99"/>
    <w:semiHidden/>
    <w:unhideWhenUsed/>
    <w:rsid w:val="002028A9"/>
    <w:pPr>
      <w:spacing w:line="240" w:lineRule="auto"/>
    </w:pPr>
    <w:rPr>
      <w:sz w:val="20"/>
      <w:szCs w:val="20"/>
    </w:rPr>
  </w:style>
  <w:style w:type="character" w:customStyle="1" w:styleId="CommentTextChar">
    <w:name w:val="Comment Text Char"/>
    <w:basedOn w:val="DefaultParagraphFont"/>
    <w:link w:val="CommentText"/>
    <w:uiPriority w:val="99"/>
    <w:semiHidden/>
    <w:rsid w:val="002028A9"/>
    <w:rPr>
      <w:sz w:val="20"/>
      <w:szCs w:val="20"/>
    </w:rPr>
  </w:style>
  <w:style w:type="paragraph" w:styleId="CommentSubject">
    <w:name w:val="annotation subject"/>
    <w:basedOn w:val="CommentText"/>
    <w:next w:val="CommentText"/>
    <w:link w:val="CommentSubjectChar"/>
    <w:uiPriority w:val="99"/>
    <w:semiHidden/>
    <w:unhideWhenUsed/>
    <w:rsid w:val="002028A9"/>
    <w:rPr>
      <w:b/>
      <w:bCs/>
    </w:rPr>
  </w:style>
  <w:style w:type="character" w:customStyle="1" w:styleId="CommentSubjectChar">
    <w:name w:val="Comment Subject Char"/>
    <w:basedOn w:val="CommentTextChar"/>
    <w:link w:val="CommentSubject"/>
    <w:uiPriority w:val="99"/>
    <w:semiHidden/>
    <w:rsid w:val="002028A9"/>
    <w:rPr>
      <w:b/>
      <w:bCs/>
      <w:sz w:val="20"/>
      <w:szCs w:val="20"/>
    </w:rPr>
  </w:style>
  <w:style w:type="paragraph" w:styleId="Revision">
    <w:name w:val="Revision"/>
    <w:hidden/>
    <w:uiPriority w:val="99"/>
    <w:semiHidden/>
    <w:rsid w:val="00EB5FB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6822310">
      <w:bodyDiv w:val="1"/>
      <w:marLeft w:val="0"/>
      <w:marRight w:val="0"/>
      <w:marTop w:val="0"/>
      <w:marBottom w:val="0"/>
      <w:divBdr>
        <w:top w:val="none" w:sz="0" w:space="0" w:color="auto"/>
        <w:left w:val="none" w:sz="0" w:space="0" w:color="auto"/>
        <w:bottom w:val="none" w:sz="0" w:space="0" w:color="auto"/>
        <w:right w:val="none" w:sz="0" w:space="0" w:color="auto"/>
      </w:divBdr>
    </w:div>
    <w:div w:id="1228691136">
      <w:bodyDiv w:val="1"/>
      <w:marLeft w:val="0"/>
      <w:marRight w:val="0"/>
      <w:marTop w:val="0"/>
      <w:marBottom w:val="0"/>
      <w:divBdr>
        <w:top w:val="none" w:sz="0" w:space="0" w:color="auto"/>
        <w:left w:val="none" w:sz="0" w:space="0" w:color="auto"/>
        <w:bottom w:val="none" w:sz="0" w:space="0" w:color="auto"/>
        <w:right w:val="none" w:sz="0" w:space="0" w:color="auto"/>
      </w:divBdr>
    </w:div>
    <w:div w:id="1307778217">
      <w:bodyDiv w:val="1"/>
      <w:marLeft w:val="0"/>
      <w:marRight w:val="0"/>
      <w:marTop w:val="0"/>
      <w:marBottom w:val="0"/>
      <w:divBdr>
        <w:top w:val="none" w:sz="0" w:space="0" w:color="auto"/>
        <w:left w:val="none" w:sz="0" w:space="0" w:color="auto"/>
        <w:bottom w:val="none" w:sz="0" w:space="0" w:color="auto"/>
        <w:right w:val="none" w:sz="0" w:space="0" w:color="auto"/>
      </w:divBdr>
    </w:div>
    <w:div w:id="1565331374">
      <w:bodyDiv w:val="1"/>
      <w:marLeft w:val="0"/>
      <w:marRight w:val="0"/>
      <w:marTop w:val="0"/>
      <w:marBottom w:val="0"/>
      <w:divBdr>
        <w:top w:val="none" w:sz="0" w:space="0" w:color="auto"/>
        <w:left w:val="none" w:sz="0" w:space="0" w:color="auto"/>
        <w:bottom w:val="none" w:sz="0" w:space="0" w:color="auto"/>
        <w:right w:val="none" w:sz="0" w:space="0" w:color="auto"/>
      </w:divBdr>
    </w:div>
    <w:div w:id="213386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pcainc@palliativecare.org.au" TargetMode="External"/><Relationship Id="rId1" Type="http://schemas.openxmlformats.org/officeDocument/2006/relationships/hyperlink" Target="http://www.palliativecare.org.au"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pcainc@palliativecare.org.au" TargetMode="External"/><Relationship Id="rId1" Type="http://schemas.openxmlformats.org/officeDocument/2006/relationships/hyperlink" Target="http://www.palliativecare.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B25A445215D4C56AF44CBB95D2CA197"/>
        <w:category>
          <w:name w:val="General"/>
          <w:gallery w:val="placeholder"/>
        </w:category>
        <w:types>
          <w:type w:val="bbPlcHdr"/>
        </w:types>
        <w:behaviors>
          <w:behavior w:val="content"/>
        </w:behaviors>
        <w:guid w:val="{6A92A20A-A95B-47FB-97BA-DE20E2C8B8E3}"/>
      </w:docPartPr>
      <w:docPartBody>
        <w:p w:rsidR="00EF57F6" w:rsidRDefault="004B59FC" w:rsidP="004B59FC">
          <w:pPr>
            <w:pStyle w:val="9B25A445215D4C56AF44CBB95D2CA1972"/>
          </w:pPr>
          <w:r w:rsidRPr="00782D0B">
            <w:rPr>
              <w:rStyle w:val="PlaceholderText"/>
            </w:rPr>
            <w:t xml:space="preserve">Choose </w:t>
          </w:r>
          <w:r>
            <w:rPr>
              <w:rStyle w:val="PlaceholderText"/>
            </w:rPr>
            <w:t>your project (click here and a drop down menu will appear).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9FC"/>
    <w:rsid w:val="0002172E"/>
    <w:rsid w:val="00427C3F"/>
    <w:rsid w:val="004B59FC"/>
    <w:rsid w:val="00904C6B"/>
    <w:rsid w:val="00EF57F6"/>
    <w:rsid w:val="00F141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59FC"/>
    <w:rPr>
      <w:color w:val="808080"/>
    </w:rPr>
  </w:style>
  <w:style w:type="paragraph" w:customStyle="1" w:styleId="9B25A445215D4C56AF44CBB95D2CA197">
    <w:name w:val="9B25A445215D4C56AF44CBB95D2CA197"/>
    <w:rsid w:val="004B59FC"/>
    <w:pPr>
      <w:spacing w:line="276" w:lineRule="auto"/>
    </w:pPr>
    <w:rPr>
      <w:rFonts w:eastAsiaTheme="minorHAnsi"/>
      <w:lang w:eastAsia="en-US"/>
    </w:rPr>
  </w:style>
  <w:style w:type="paragraph" w:customStyle="1" w:styleId="9B25A445215D4C56AF44CBB95D2CA1971">
    <w:name w:val="9B25A445215D4C56AF44CBB95D2CA1971"/>
    <w:rsid w:val="004B59FC"/>
    <w:pPr>
      <w:spacing w:line="276" w:lineRule="auto"/>
    </w:pPr>
    <w:rPr>
      <w:rFonts w:eastAsiaTheme="minorHAnsi"/>
      <w:lang w:eastAsia="en-US"/>
    </w:rPr>
  </w:style>
  <w:style w:type="paragraph" w:customStyle="1" w:styleId="9B25A445215D4C56AF44CBB95D2CA1972">
    <w:name w:val="9B25A445215D4C56AF44CBB95D2CA1972"/>
    <w:rsid w:val="004B59FC"/>
    <w:pPr>
      <w:spacing w:line="27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F9D097-7AB1-4276-8A9B-8D367F360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970</Words>
  <Characters>5532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Forward.IT PTY LTD</Company>
  <LinksUpToDate>false</LinksUpToDate>
  <CharactersWithSpaces>6490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Ognenovski</dc:creator>
  <cp:lastModifiedBy>Lauren Ognenovski</cp:lastModifiedBy>
  <cp:revision>3</cp:revision>
  <cp:lastPrinted>2016-03-11T02:32:00Z</cp:lastPrinted>
  <dcterms:created xsi:type="dcterms:W3CDTF">2016-03-28T06:05:00Z</dcterms:created>
  <dcterms:modified xsi:type="dcterms:W3CDTF">2016-03-28T21:39:00Z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lauren@palliativecare.org.au@www.mendeley.com</vt:lpwstr>
  </property>
  <property fmtid="{D5CDD505-2E9C-101B-9397-08002B2CF9AE}" pid="4" name="Mendeley Citation Style_1">
    <vt:lpwstr>http://www.zotero.org/styles/vancouver</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16th edition (author-date)</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(author-date)</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7th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