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9D" w:rsidRDefault="00F8079D" w:rsidP="00FA36F8">
      <w:pPr>
        <w:pStyle w:val="Title"/>
        <w:spacing w:before="0" w:after="0"/>
        <w:rPr>
          <w:sz w:val="40"/>
          <w:szCs w:val="40"/>
        </w:rPr>
      </w:pPr>
      <w:r>
        <w:rPr>
          <w:sz w:val="40"/>
          <w:szCs w:val="40"/>
        </w:rPr>
        <w:t xml:space="preserve">National </w:t>
      </w:r>
      <w:r w:rsidRPr="000E75B3">
        <w:rPr>
          <w:sz w:val="40"/>
          <w:szCs w:val="40"/>
        </w:rPr>
        <w:t>Palliative Care Grant Recipient</w:t>
      </w:r>
      <w:r>
        <w:rPr>
          <w:sz w:val="40"/>
          <w:szCs w:val="40"/>
        </w:rPr>
        <w:t>s’</w:t>
      </w:r>
      <w:r w:rsidRPr="000E75B3">
        <w:rPr>
          <w:sz w:val="40"/>
          <w:szCs w:val="40"/>
        </w:rPr>
        <w:t xml:space="preserve"> Forum</w:t>
      </w:r>
    </w:p>
    <w:p w:rsidR="00F8079D" w:rsidRPr="00FC0302" w:rsidRDefault="00F8079D" w:rsidP="00FC0302">
      <w:pPr>
        <w:spacing w:after="0"/>
        <w:rPr>
          <w:b/>
          <w:color w:val="003057"/>
        </w:rPr>
      </w:pPr>
      <w:r w:rsidRPr="00FC0302">
        <w:rPr>
          <w:b/>
          <w:color w:val="003057"/>
        </w:rPr>
        <w:t>7-8 April 2016 | Vibe Hotel, Canberra Airport</w:t>
      </w:r>
    </w:p>
    <w:p w:rsidR="00F8079D" w:rsidRDefault="00F8079D" w:rsidP="00967CD3">
      <w:pPr>
        <w:spacing w:before="300" w:after="300"/>
        <w:rPr>
          <w:b/>
          <w:color w:val="FF4539"/>
          <w:sz w:val="36"/>
          <w:szCs w:val="36"/>
        </w:rPr>
      </w:pPr>
      <w:r>
        <w:rPr>
          <w:b/>
          <w:color w:val="FF4539"/>
          <w:sz w:val="36"/>
          <w:szCs w:val="36"/>
        </w:rPr>
        <w:t>Project Information Form</w:t>
      </w:r>
    </w:p>
    <w:p w:rsidR="00F8079D" w:rsidRPr="00B45F75" w:rsidRDefault="00F8079D" w:rsidP="0014152B">
      <w:pPr>
        <w:tabs>
          <w:tab w:val="left" w:pos="1418"/>
        </w:tabs>
        <w:spacing w:before="300" w:after="300"/>
        <w:ind w:left="1418" w:hanging="1418"/>
        <w:rPr>
          <w:color w:val="003057"/>
        </w:rPr>
      </w:pPr>
      <w:r w:rsidRPr="00B45F75">
        <w:rPr>
          <w:b/>
          <w:color w:val="003057"/>
          <w:sz w:val="36"/>
          <w:szCs w:val="36"/>
        </w:rPr>
        <w:t xml:space="preserve">Project: </w:t>
      </w:r>
      <w:r>
        <w:rPr>
          <w:b/>
          <w:color w:val="808080"/>
          <w:sz w:val="36"/>
          <w:szCs w:val="36"/>
        </w:rPr>
        <w:tab/>
      </w:r>
      <w:r>
        <w:rPr>
          <w:color w:val="003057"/>
        </w:rPr>
        <w:t xml:space="preserve">Paediatric Palliative Care National Education &amp; Quality Improvement Collaborative </w:t>
      </w:r>
      <w:r w:rsidR="0014152B">
        <w:rPr>
          <w:color w:val="003057"/>
        </w:rPr>
        <w:t xml:space="preserve">Quality of Care Collaborative Australia </w:t>
      </w:r>
      <w:r>
        <w:rPr>
          <w:color w:val="003057"/>
        </w:rPr>
        <w:t>(</w:t>
      </w:r>
      <w:proofErr w:type="spellStart"/>
      <w:r>
        <w:rPr>
          <w:color w:val="003057"/>
        </w:rPr>
        <w:t>Q</w:t>
      </w:r>
      <w:r w:rsidR="0014152B">
        <w:rPr>
          <w:color w:val="003057"/>
        </w:rPr>
        <w:t>u</w:t>
      </w:r>
      <w:r>
        <w:rPr>
          <w:color w:val="003057"/>
        </w:rPr>
        <w:t>oCCA</w:t>
      </w:r>
      <w:proofErr w:type="spellEnd"/>
      <w:r>
        <w:rPr>
          <w:color w:val="003057"/>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7741"/>
      </w:tblGrid>
      <w:tr w:rsidR="00F8079D" w:rsidRPr="005851EC" w:rsidTr="00F82C82">
        <w:trPr>
          <w:trHeight w:hRule="exact" w:val="2589"/>
        </w:trPr>
        <w:tc>
          <w:tcPr>
            <w:tcW w:w="813" w:type="pct"/>
          </w:tcPr>
          <w:p w:rsidR="00F8079D" w:rsidRPr="005851EC" w:rsidRDefault="00F8079D" w:rsidP="005851EC">
            <w:pPr>
              <w:spacing w:before="160" w:line="240" w:lineRule="auto"/>
              <w:rPr>
                <w:b/>
                <w:sz w:val="28"/>
                <w:szCs w:val="28"/>
              </w:rPr>
            </w:pPr>
            <w:r w:rsidRPr="005851EC">
              <w:rPr>
                <w:b/>
                <w:sz w:val="28"/>
                <w:szCs w:val="28"/>
              </w:rPr>
              <w:t>Key objectives</w:t>
            </w:r>
          </w:p>
        </w:tc>
        <w:tc>
          <w:tcPr>
            <w:tcW w:w="4187" w:type="pct"/>
          </w:tcPr>
          <w:p w:rsidR="00F8079D" w:rsidRPr="005851EC" w:rsidRDefault="00F8079D" w:rsidP="00F82C82">
            <w:pPr>
              <w:pStyle w:val="ListParagraph"/>
              <w:numPr>
                <w:ilvl w:val="0"/>
                <w:numId w:val="6"/>
              </w:numPr>
              <w:spacing w:before="60" w:after="60" w:line="240" w:lineRule="auto"/>
              <w:ind w:left="340" w:hanging="340"/>
            </w:pPr>
            <w:r w:rsidRPr="005851EC">
              <w:t>Improvement i</w:t>
            </w:r>
            <w:r>
              <w:t>n</w:t>
            </w:r>
            <w:r w:rsidRPr="005851EC">
              <w:t xml:space="preserve"> skill, knowledge and confidence of health professionals through Australia at all levels involved in delivery of paediatric palliative care enabling them to provide best practice care for children and families</w:t>
            </w:r>
          </w:p>
          <w:p w:rsidR="00F8079D" w:rsidRPr="005851EC" w:rsidRDefault="00F8079D" w:rsidP="00F82C82">
            <w:pPr>
              <w:pStyle w:val="ListParagraph"/>
              <w:numPr>
                <w:ilvl w:val="0"/>
                <w:numId w:val="6"/>
              </w:numPr>
              <w:spacing w:before="60" w:after="60" w:line="240" w:lineRule="auto"/>
              <w:ind w:left="340" w:hanging="340"/>
            </w:pPr>
            <w:r w:rsidRPr="005851EC">
              <w:t>Improvement in timely and appropriate access to, and quality of, paediatric palliative care in national acute and community settings</w:t>
            </w:r>
          </w:p>
          <w:p w:rsidR="00F8079D" w:rsidRPr="005851EC" w:rsidRDefault="00F8079D" w:rsidP="00F82C82">
            <w:pPr>
              <w:pStyle w:val="ListParagraph"/>
              <w:numPr>
                <w:ilvl w:val="0"/>
                <w:numId w:val="6"/>
              </w:numPr>
              <w:spacing w:before="60" w:after="60" w:line="240" w:lineRule="auto"/>
              <w:ind w:left="340" w:hanging="340"/>
            </w:pPr>
            <w:r w:rsidRPr="005851EC">
              <w:t>Improved processes for care planning in local communities</w:t>
            </w:r>
          </w:p>
          <w:p w:rsidR="00F8079D" w:rsidRPr="005851EC" w:rsidRDefault="00F8079D" w:rsidP="00F82C82">
            <w:pPr>
              <w:pStyle w:val="ListParagraph"/>
              <w:numPr>
                <w:ilvl w:val="0"/>
                <w:numId w:val="6"/>
              </w:numPr>
              <w:spacing w:before="60" w:after="60" w:line="240" w:lineRule="auto"/>
              <w:ind w:left="340" w:hanging="340"/>
            </w:pPr>
            <w:r w:rsidRPr="005851EC">
              <w:t>Increased community and health professional awareness of death and dying as a normal part of life limiting conditions in childhood and the need for family centred and developmentally and culturally appropriate services</w:t>
            </w:r>
          </w:p>
        </w:tc>
      </w:tr>
      <w:tr w:rsidR="00F8079D" w:rsidRPr="005851EC" w:rsidTr="00F82C82">
        <w:trPr>
          <w:trHeight w:hRule="exact" w:val="5804"/>
        </w:trPr>
        <w:tc>
          <w:tcPr>
            <w:tcW w:w="813" w:type="pct"/>
          </w:tcPr>
          <w:p w:rsidR="00F8079D" w:rsidRPr="005851EC" w:rsidRDefault="00F8079D" w:rsidP="005851EC">
            <w:pPr>
              <w:spacing w:before="160" w:line="240" w:lineRule="auto"/>
              <w:rPr>
                <w:b/>
                <w:sz w:val="28"/>
                <w:szCs w:val="28"/>
              </w:rPr>
            </w:pPr>
            <w:r w:rsidRPr="005851EC">
              <w:rPr>
                <w:b/>
                <w:sz w:val="28"/>
                <w:szCs w:val="28"/>
              </w:rPr>
              <w:t>Key outcomes</w:t>
            </w:r>
          </w:p>
          <w:p w:rsidR="00F8079D" w:rsidRPr="005851EC" w:rsidRDefault="00F8079D" w:rsidP="005851EC">
            <w:pPr>
              <w:spacing w:before="160" w:line="240" w:lineRule="auto"/>
              <w:rPr>
                <w:i/>
                <w:sz w:val="16"/>
                <w:szCs w:val="16"/>
              </w:rPr>
            </w:pPr>
            <w:r w:rsidRPr="005851EC">
              <w:rPr>
                <w:i/>
                <w:sz w:val="16"/>
                <w:szCs w:val="16"/>
              </w:rPr>
              <w:t>(e.g. resource development, education and training)</w:t>
            </w:r>
          </w:p>
        </w:tc>
        <w:tc>
          <w:tcPr>
            <w:tcW w:w="4187" w:type="pct"/>
          </w:tcPr>
          <w:p w:rsidR="00F8079D" w:rsidRPr="005851EC" w:rsidRDefault="00F8079D" w:rsidP="00F82C82">
            <w:pPr>
              <w:pStyle w:val="ListParagraph"/>
              <w:numPr>
                <w:ilvl w:val="0"/>
                <w:numId w:val="2"/>
              </w:numPr>
              <w:spacing w:before="60" w:after="60" w:line="240" w:lineRule="auto"/>
              <w:ind w:left="340" w:hanging="340"/>
            </w:pPr>
            <w:r w:rsidRPr="005851EC">
              <w:t>Deliver the prescribed pop-up and scheduled education events as detailed in Performance Indicator description (Total Pop-ups = 42, Scheduled = 36 during project period)</w:t>
            </w:r>
          </w:p>
          <w:p w:rsidR="00F8079D" w:rsidRPr="005851EC" w:rsidRDefault="00F8079D" w:rsidP="00F82C82">
            <w:pPr>
              <w:pStyle w:val="ListParagraph"/>
              <w:numPr>
                <w:ilvl w:val="0"/>
                <w:numId w:val="2"/>
              </w:numPr>
              <w:spacing w:before="60" w:after="60" w:line="240" w:lineRule="auto"/>
              <w:ind w:left="340" w:hanging="340"/>
            </w:pPr>
            <w:r w:rsidRPr="005851EC">
              <w:t>Percentage of participants overall from project commencement to 30.6.2017 who identified as having improved their knowledge and/or skills in paediatric palliative care = 85%</w:t>
            </w:r>
          </w:p>
          <w:p w:rsidR="00F8079D" w:rsidRPr="005851EC" w:rsidRDefault="00F8079D" w:rsidP="00F82C82">
            <w:pPr>
              <w:pStyle w:val="ListParagraph"/>
              <w:numPr>
                <w:ilvl w:val="0"/>
                <w:numId w:val="2"/>
              </w:numPr>
              <w:spacing w:before="60" w:after="60" w:line="240" w:lineRule="auto"/>
              <w:ind w:left="340" w:hanging="340"/>
            </w:pPr>
            <w:r w:rsidRPr="005851EC">
              <w:t>Service provider skill development  through frontline worker education and training to build and enhance capacity within the palliative care sector</w:t>
            </w:r>
          </w:p>
          <w:p w:rsidR="00F8079D" w:rsidRPr="005851EC" w:rsidRDefault="00F8079D" w:rsidP="00F82C82">
            <w:pPr>
              <w:pStyle w:val="ListParagraph"/>
              <w:numPr>
                <w:ilvl w:val="0"/>
                <w:numId w:val="2"/>
              </w:numPr>
              <w:spacing w:before="60" w:after="60" w:line="240" w:lineRule="auto"/>
              <w:ind w:left="340" w:hanging="340"/>
            </w:pPr>
            <w:r w:rsidRPr="005851EC">
              <w:t>Service quality improvement in acute and community health settings</w:t>
            </w:r>
          </w:p>
          <w:p w:rsidR="00F8079D" w:rsidRPr="005851EC" w:rsidRDefault="00F8079D" w:rsidP="00F82C82">
            <w:pPr>
              <w:pStyle w:val="ListParagraph"/>
              <w:numPr>
                <w:ilvl w:val="0"/>
                <w:numId w:val="2"/>
              </w:numPr>
              <w:spacing w:before="60" w:after="60" w:line="240" w:lineRule="auto"/>
              <w:ind w:left="340" w:hanging="340"/>
            </w:pPr>
            <w:r w:rsidRPr="005851EC">
              <w:t>Research and benchmarking  to improve sector knowledge and increase community awareness and across the sector</w:t>
            </w:r>
          </w:p>
          <w:p w:rsidR="00F8079D" w:rsidRPr="005851EC" w:rsidRDefault="00F8079D" w:rsidP="00F82C82">
            <w:pPr>
              <w:pStyle w:val="ListParagraph"/>
              <w:numPr>
                <w:ilvl w:val="0"/>
                <w:numId w:val="2"/>
              </w:numPr>
              <w:spacing w:before="60" w:after="60" w:line="240" w:lineRule="auto"/>
              <w:ind w:left="340" w:hanging="340"/>
            </w:pPr>
            <w:r w:rsidRPr="005851EC">
              <w:t>Strengthen linkages with adult palliative care service providers particularly in regional and remote communities</w:t>
            </w:r>
          </w:p>
          <w:p w:rsidR="00F8079D" w:rsidRPr="005851EC" w:rsidRDefault="00F8079D" w:rsidP="00F82C82">
            <w:pPr>
              <w:pStyle w:val="ListParagraph"/>
              <w:numPr>
                <w:ilvl w:val="0"/>
                <w:numId w:val="2"/>
              </w:numPr>
              <w:spacing w:before="60" w:after="60" w:line="240" w:lineRule="auto"/>
              <w:ind w:left="340" w:hanging="340"/>
            </w:pPr>
            <w:r w:rsidRPr="005851EC">
              <w:t>Develop Education packages relevant to allied health staff for use throughout Australia</w:t>
            </w:r>
            <w:r>
              <w:t>.  Develop inter-professional resources that would be of benefit to multi-disciplinary services looking after children.</w:t>
            </w:r>
          </w:p>
          <w:p w:rsidR="00F8079D" w:rsidRPr="005851EC" w:rsidRDefault="00F8079D" w:rsidP="00F82C82">
            <w:pPr>
              <w:pStyle w:val="ListParagraph"/>
              <w:numPr>
                <w:ilvl w:val="0"/>
                <w:numId w:val="2"/>
              </w:numPr>
              <w:spacing w:before="60" w:after="60" w:line="240" w:lineRule="auto"/>
              <w:ind w:left="340" w:hanging="340"/>
            </w:pPr>
            <w:r w:rsidRPr="005851EC">
              <w:t>Improve collaboration and linkages with all Government  palliative care activities</w:t>
            </w:r>
          </w:p>
          <w:p w:rsidR="00F8079D" w:rsidRPr="005851EC" w:rsidRDefault="00F8079D" w:rsidP="00F82C82">
            <w:pPr>
              <w:pStyle w:val="ListParagraph"/>
              <w:numPr>
                <w:ilvl w:val="0"/>
                <w:numId w:val="2"/>
              </w:numPr>
              <w:spacing w:before="60" w:after="60" w:line="240" w:lineRule="auto"/>
              <w:ind w:left="340" w:hanging="340"/>
            </w:pPr>
            <w:r w:rsidRPr="005851EC">
              <w:t xml:space="preserve">Ensure sustainability and leave </w:t>
            </w:r>
            <w:r>
              <w:t>a</w:t>
            </w:r>
            <w:r w:rsidR="00EB6863">
              <w:t xml:space="preserve"> </w:t>
            </w:r>
            <w:r w:rsidRPr="005851EC">
              <w:t>legacy of project activities</w:t>
            </w:r>
            <w:r>
              <w:t xml:space="preserve"> (e.g. website, training modules, phone App)</w:t>
            </w:r>
          </w:p>
        </w:tc>
      </w:tr>
      <w:tr w:rsidR="00F8079D" w:rsidRPr="005851EC" w:rsidTr="00F82C82">
        <w:trPr>
          <w:trHeight w:hRule="exact" w:val="2419"/>
        </w:trPr>
        <w:tc>
          <w:tcPr>
            <w:tcW w:w="813" w:type="pct"/>
          </w:tcPr>
          <w:p w:rsidR="00F8079D" w:rsidRPr="005851EC" w:rsidRDefault="00F8079D" w:rsidP="005851EC">
            <w:pPr>
              <w:spacing w:before="160" w:line="240" w:lineRule="auto"/>
              <w:rPr>
                <w:b/>
                <w:sz w:val="28"/>
                <w:szCs w:val="28"/>
              </w:rPr>
            </w:pPr>
            <w:r w:rsidRPr="005851EC">
              <w:rPr>
                <w:b/>
                <w:sz w:val="28"/>
                <w:szCs w:val="28"/>
              </w:rPr>
              <w:t>Target audience</w:t>
            </w:r>
          </w:p>
          <w:p w:rsidR="00F8079D" w:rsidRPr="005851EC" w:rsidRDefault="00F8079D" w:rsidP="005851EC">
            <w:pPr>
              <w:spacing w:before="160" w:line="240" w:lineRule="auto"/>
              <w:rPr>
                <w:i/>
                <w:sz w:val="16"/>
                <w:szCs w:val="16"/>
              </w:rPr>
            </w:pPr>
            <w:r w:rsidRPr="005851EC">
              <w:rPr>
                <w:i/>
                <w:sz w:val="16"/>
                <w:szCs w:val="16"/>
              </w:rPr>
              <w:t>(e.g. who is the target audience/s for your project activities?)</w:t>
            </w:r>
          </w:p>
        </w:tc>
        <w:tc>
          <w:tcPr>
            <w:tcW w:w="4187" w:type="pct"/>
          </w:tcPr>
          <w:p w:rsidR="00F8079D" w:rsidRPr="005851EC" w:rsidRDefault="00F8079D" w:rsidP="00F82C82">
            <w:pPr>
              <w:pStyle w:val="ListParagraph"/>
              <w:numPr>
                <w:ilvl w:val="0"/>
                <w:numId w:val="3"/>
              </w:numPr>
              <w:spacing w:before="60" w:after="60" w:line="240" w:lineRule="auto"/>
              <w:ind w:left="340" w:hanging="340"/>
            </w:pPr>
            <w:r w:rsidRPr="005851EC">
              <w:t>Health and community professionals throughout Australia including regional rural and remote communities</w:t>
            </w:r>
          </w:p>
          <w:p w:rsidR="00F8079D" w:rsidRPr="005851EC" w:rsidRDefault="00F8079D" w:rsidP="00F82C82">
            <w:pPr>
              <w:pStyle w:val="ListParagraph"/>
              <w:numPr>
                <w:ilvl w:val="0"/>
                <w:numId w:val="3"/>
              </w:numPr>
              <w:spacing w:before="60" w:after="60" w:line="240" w:lineRule="auto"/>
              <w:ind w:left="340" w:hanging="340"/>
            </w:pPr>
            <w:r w:rsidRPr="005851EC">
              <w:t xml:space="preserve">Health professionals in acute and community health settings in Australia </w:t>
            </w:r>
          </w:p>
          <w:p w:rsidR="00F8079D" w:rsidRPr="005851EC" w:rsidRDefault="00F8079D" w:rsidP="00F82C82">
            <w:pPr>
              <w:pStyle w:val="ListParagraph"/>
              <w:numPr>
                <w:ilvl w:val="0"/>
                <w:numId w:val="3"/>
              </w:numPr>
              <w:spacing w:before="60" w:after="60" w:line="240" w:lineRule="auto"/>
              <w:ind w:left="340" w:hanging="340"/>
            </w:pPr>
            <w:r w:rsidRPr="005851EC">
              <w:t>Health professionals in Indigenous and Islander communities throughout Australia</w:t>
            </w:r>
          </w:p>
          <w:p w:rsidR="00F8079D" w:rsidRPr="005851EC" w:rsidRDefault="00F8079D" w:rsidP="00F82C82">
            <w:pPr>
              <w:pStyle w:val="ListParagraph"/>
              <w:numPr>
                <w:ilvl w:val="0"/>
                <w:numId w:val="3"/>
              </w:numPr>
              <w:spacing w:before="60" w:after="60" w:line="240" w:lineRule="auto"/>
              <w:ind w:left="340" w:hanging="340"/>
            </w:pPr>
            <w:r w:rsidRPr="005851EC">
              <w:t>Other community professionals involved in the care of patients and families of children with life limiting conditions and at end of life phase (</w:t>
            </w:r>
            <w:proofErr w:type="spellStart"/>
            <w:r w:rsidRPr="005851EC">
              <w:t>eg</w:t>
            </w:r>
            <w:proofErr w:type="spellEnd"/>
            <w:r w:rsidRPr="005851EC">
              <w:t xml:space="preserve">. respite providers, pastoral carers, funeral providers, schools, personal carers, </w:t>
            </w:r>
            <w:proofErr w:type="spellStart"/>
            <w:r w:rsidRPr="005851EC">
              <w:t>etc</w:t>
            </w:r>
            <w:proofErr w:type="spellEnd"/>
            <w:r w:rsidRPr="005851EC">
              <w:t>)</w:t>
            </w:r>
          </w:p>
        </w:tc>
      </w:tr>
      <w:tr w:rsidR="00F8079D" w:rsidRPr="005851EC" w:rsidTr="00F82C82">
        <w:trPr>
          <w:trHeight w:hRule="exact" w:val="4119"/>
        </w:trPr>
        <w:tc>
          <w:tcPr>
            <w:tcW w:w="813" w:type="pct"/>
          </w:tcPr>
          <w:p w:rsidR="00F8079D" w:rsidRPr="005851EC" w:rsidRDefault="00F8079D" w:rsidP="005851EC">
            <w:pPr>
              <w:spacing w:before="160" w:line="240" w:lineRule="auto"/>
              <w:rPr>
                <w:b/>
                <w:sz w:val="28"/>
                <w:szCs w:val="28"/>
              </w:rPr>
            </w:pPr>
            <w:r w:rsidRPr="005851EC">
              <w:lastRenderedPageBreak/>
              <w:br w:type="page"/>
            </w:r>
            <w:r w:rsidRPr="005851EC">
              <w:rPr>
                <w:b/>
                <w:sz w:val="28"/>
                <w:szCs w:val="28"/>
              </w:rPr>
              <w:t>Outcomes to date</w:t>
            </w:r>
          </w:p>
        </w:tc>
        <w:tc>
          <w:tcPr>
            <w:tcW w:w="4187" w:type="pct"/>
          </w:tcPr>
          <w:p w:rsidR="00F8079D" w:rsidRPr="005851EC" w:rsidRDefault="00F8079D" w:rsidP="00F82C82">
            <w:pPr>
              <w:spacing w:before="60" w:after="60" w:line="240" w:lineRule="auto"/>
            </w:pPr>
            <w:r w:rsidRPr="005851EC">
              <w:t>From project commencement to date we have achieved the following education events throughout Australia by the collaborative member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1877"/>
              <w:gridCol w:w="1878"/>
              <w:gridCol w:w="1878"/>
            </w:tblGrid>
            <w:tr w:rsidR="00F8079D" w:rsidRPr="005851EC" w:rsidTr="005851EC">
              <w:tc>
                <w:tcPr>
                  <w:tcW w:w="1877"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Scheduled education events</w:t>
                  </w:r>
                </w:p>
              </w:tc>
              <w:tc>
                <w:tcPr>
                  <w:tcW w:w="1877"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Pop-up education events</w:t>
                  </w:r>
                </w:p>
              </w:tc>
              <w:tc>
                <w:tcPr>
                  <w:tcW w:w="1878"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Incidental education events</w:t>
                  </w:r>
                </w:p>
              </w:tc>
              <w:tc>
                <w:tcPr>
                  <w:tcW w:w="1878"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Other education events</w:t>
                  </w:r>
                </w:p>
              </w:tc>
            </w:tr>
            <w:tr w:rsidR="00F8079D" w:rsidRPr="005851EC" w:rsidTr="005851EC">
              <w:tc>
                <w:tcPr>
                  <w:tcW w:w="1877"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16</w:t>
                  </w:r>
                </w:p>
              </w:tc>
              <w:tc>
                <w:tcPr>
                  <w:tcW w:w="1877"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17</w:t>
                  </w:r>
                </w:p>
              </w:tc>
              <w:tc>
                <w:tcPr>
                  <w:tcW w:w="1878"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7</w:t>
                  </w:r>
                </w:p>
              </w:tc>
              <w:tc>
                <w:tcPr>
                  <w:tcW w:w="1878" w:type="dxa"/>
                  <w:tcBorders>
                    <w:top w:val="single" w:sz="4" w:space="0" w:color="auto"/>
                    <w:left w:val="single" w:sz="4" w:space="0" w:color="auto"/>
                    <w:bottom w:val="single" w:sz="4" w:space="0" w:color="auto"/>
                    <w:right w:val="single" w:sz="4" w:space="0" w:color="auto"/>
                  </w:tcBorders>
                </w:tcPr>
                <w:p w:rsidR="00F8079D" w:rsidRPr="005851EC" w:rsidRDefault="00F8079D" w:rsidP="00F82C82">
                  <w:pPr>
                    <w:spacing w:before="60" w:after="60" w:line="240" w:lineRule="auto"/>
                  </w:pPr>
                  <w:r w:rsidRPr="005851EC">
                    <w:t>11</w:t>
                  </w:r>
                </w:p>
              </w:tc>
            </w:tr>
          </w:tbl>
          <w:p w:rsidR="00F8079D" w:rsidRPr="005851EC" w:rsidRDefault="00F8079D" w:rsidP="00F82C82">
            <w:pPr>
              <w:spacing w:before="60" w:after="60" w:line="240" w:lineRule="auto"/>
            </w:pPr>
            <w:r w:rsidRPr="005851EC">
              <w:t>Scheduled event – Planned education event</w:t>
            </w:r>
          </w:p>
          <w:p w:rsidR="00F8079D" w:rsidRPr="005851EC" w:rsidRDefault="00F8079D" w:rsidP="00F82C82">
            <w:pPr>
              <w:spacing w:before="60" w:after="60" w:line="240" w:lineRule="auto"/>
            </w:pPr>
            <w:r w:rsidRPr="005851EC">
              <w:t>Pop-up event – Education linked to a patient</w:t>
            </w:r>
            <w:r>
              <w:t xml:space="preserve"> (education is undertaken close to where the patient lives – often in a regional or rural setting, and responds in a timely way to the patients</w:t>
            </w:r>
            <w:r w:rsidR="00DC18F1">
              <w:t>’</w:t>
            </w:r>
            <w:r>
              <w:t xml:space="preserve"> needs)</w:t>
            </w:r>
          </w:p>
          <w:p w:rsidR="00F8079D" w:rsidRPr="005851EC" w:rsidRDefault="00F8079D" w:rsidP="00F82C82">
            <w:pPr>
              <w:spacing w:before="60" w:after="60" w:line="240" w:lineRule="auto"/>
            </w:pPr>
            <w:r w:rsidRPr="005851EC">
              <w:t>Incidental – Linked to another education event to promote awareness of Paediatric Palliative Care</w:t>
            </w:r>
          </w:p>
          <w:p w:rsidR="00F8079D" w:rsidRPr="005851EC" w:rsidRDefault="00F8079D" w:rsidP="00F82C82">
            <w:pPr>
              <w:spacing w:before="60" w:after="60" w:line="240" w:lineRule="auto"/>
            </w:pPr>
            <w:r w:rsidRPr="005851EC">
              <w:t>Other – Any other event/opportunity to educate on Paediatric Palliative Care</w:t>
            </w:r>
          </w:p>
        </w:tc>
      </w:tr>
      <w:tr w:rsidR="00F8079D" w:rsidRPr="005851EC" w:rsidTr="00F82C82">
        <w:trPr>
          <w:trHeight w:hRule="exact" w:val="5788"/>
        </w:trPr>
        <w:tc>
          <w:tcPr>
            <w:tcW w:w="813" w:type="pct"/>
          </w:tcPr>
          <w:p w:rsidR="00F8079D" w:rsidRPr="005851EC" w:rsidRDefault="00F8079D" w:rsidP="005851EC">
            <w:pPr>
              <w:spacing w:before="160" w:line="240" w:lineRule="auto"/>
              <w:rPr>
                <w:b/>
                <w:sz w:val="28"/>
                <w:szCs w:val="28"/>
              </w:rPr>
            </w:pPr>
            <w:r w:rsidRPr="005851EC">
              <w:rPr>
                <w:b/>
                <w:sz w:val="28"/>
                <w:szCs w:val="28"/>
              </w:rPr>
              <w:t>Challenges &amp; lessons learnt</w:t>
            </w:r>
          </w:p>
          <w:p w:rsidR="00F8079D" w:rsidRPr="005851EC" w:rsidRDefault="00F8079D" w:rsidP="005851EC">
            <w:pPr>
              <w:spacing w:before="160" w:line="240" w:lineRule="auto"/>
              <w:rPr>
                <w:i/>
                <w:sz w:val="16"/>
                <w:szCs w:val="16"/>
              </w:rPr>
            </w:pPr>
            <w:r w:rsidRPr="005851EC">
              <w:rPr>
                <w:i/>
                <w:sz w:val="16"/>
                <w:szCs w:val="16"/>
              </w:rPr>
              <w:t>(e.g. were there any difficulties which may assist others?)</w:t>
            </w:r>
          </w:p>
        </w:tc>
        <w:tc>
          <w:tcPr>
            <w:tcW w:w="4187" w:type="pct"/>
          </w:tcPr>
          <w:p w:rsidR="00F8079D" w:rsidRPr="005851EC" w:rsidRDefault="00F8079D" w:rsidP="00F82C82">
            <w:pPr>
              <w:pStyle w:val="ListParagraph"/>
              <w:numPr>
                <w:ilvl w:val="0"/>
                <w:numId w:val="4"/>
              </w:numPr>
              <w:spacing w:before="60" w:after="60" w:line="240" w:lineRule="auto"/>
              <w:ind w:left="340" w:hanging="283"/>
            </w:pPr>
            <w:r w:rsidRPr="005851EC">
              <w:t xml:space="preserve">Pop-ups can be difficult to achieve as the offer of and delivery of the education requires a high degree of sensitivity.  Acknowledging the good work already being done by local teams whilst offering opportunities to up-skill and improve the quality of outcomes needs to be balanced and not interpreted as a remote team trying to take over.  </w:t>
            </w:r>
            <w:r>
              <w:t>An “empowerment” model is helpful in this context.</w:t>
            </w:r>
          </w:p>
          <w:p w:rsidR="00F8079D" w:rsidRPr="005851EC" w:rsidRDefault="00F8079D" w:rsidP="00F82C82">
            <w:pPr>
              <w:pStyle w:val="ListParagraph"/>
              <w:numPr>
                <w:ilvl w:val="0"/>
                <w:numId w:val="4"/>
              </w:numPr>
              <w:spacing w:before="60" w:after="60" w:line="240" w:lineRule="auto"/>
              <w:ind w:left="340" w:hanging="283"/>
            </w:pPr>
            <w:r w:rsidRPr="005851EC">
              <w:t>After delivery of sessions, particularly pop-up’s, there have been follow up requests for scheduled education</w:t>
            </w:r>
          </w:p>
          <w:p w:rsidR="00F8079D" w:rsidRPr="005851EC" w:rsidRDefault="00F8079D" w:rsidP="00F82C82">
            <w:pPr>
              <w:pStyle w:val="ListParagraph"/>
              <w:numPr>
                <w:ilvl w:val="0"/>
                <w:numId w:val="4"/>
              </w:numPr>
              <w:spacing w:before="60" w:after="60" w:line="240" w:lineRule="auto"/>
              <w:ind w:left="340" w:hanging="283"/>
            </w:pPr>
            <w:r w:rsidRPr="005851EC">
              <w:t>Many local services not aware of support that can be provided from State-wide services</w:t>
            </w:r>
          </w:p>
          <w:p w:rsidR="00F8079D" w:rsidRPr="005851EC" w:rsidRDefault="00F8079D" w:rsidP="00F82C82">
            <w:pPr>
              <w:pStyle w:val="ListParagraph"/>
              <w:numPr>
                <w:ilvl w:val="0"/>
                <w:numId w:val="4"/>
              </w:numPr>
              <w:spacing w:before="60" w:after="60" w:line="240" w:lineRule="auto"/>
              <w:ind w:left="340" w:hanging="283"/>
            </w:pPr>
            <w:r w:rsidRPr="005851EC">
              <w:t>Education events are a good opportunity to bring stakeholders working in the same area together to learn about each other’s services and roles with an emphasis on teamwork to achieve the best outcomes for patients and families</w:t>
            </w:r>
          </w:p>
          <w:p w:rsidR="00F8079D" w:rsidRPr="005851EC" w:rsidRDefault="00F8079D" w:rsidP="00F82C82">
            <w:pPr>
              <w:pStyle w:val="ListParagraph"/>
              <w:numPr>
                <w:ilvl w:val="0"/>
                <w:numId w:val="4"/>
              </w:numPr>
              <w:spacing w:before="60" w:after="60" w:line="240" w:lineRule="auto"/>
              <w:ind w:left="340" w:hanging="283"/>
            </w:pPr>
            <w:r w:rsidRPr="005851EC">
              <w:t>There is a thirst for paediatric palliative care education and an interest in holistic and multi-disciplinary aspects of care</w:t>
            </w:r>
          </w:p>
          <w:p w:rsidR="00F8079D" w:rsidRPr="005851EC" w:rsidRDefault="00F8079D" w:rsidP="00F82C82">
            <w:pPr>
              <w:pStyle w:val="ListParagraph"/>
              <w:numPr>
                <w:ilvl w:val="0"/>
                <w:numId w:val="4"/>
              </w:numPr>
              <w:spacing w:before="60" w:after="60" w:line="240" w:lineRule="auto"/>
              <w:ind w:left="340" w:hanging="283"/>
            </w:pPr>
            <w:r w:rsidRPr="005851EC">
              <w:t xml:space="preserve">Paediatric Palliative care can </w:t>
            </w:r>
            <w:r>
              <w:t xml:space="preserve">be </w:t>
            </w:r>
            <w:r w:rsidRPr="005851EC">
              <w:t>confronting</w:t>
            </w:r>
            <w:r>
              <w:t xml:space="preserve"> </w:t>
            </w:r>
            <w:r w:rsidRPr="005851EC">
              <w:t xml:space="preserve">and highly emotive for participants </w:t>
            </w:r>
          </w:p>
          <w:p w:rsidR="00F8079D" w:rsidRPr="005851EC" w:rsidRDefault="00F8079D" w:rsidP="00F82C82">
            <w:pPr>
              <w:pStyle w:val="ListParagraph"/>
              <w:numPr>
                <w:ilvl w:val="0"/>
                <w:numId w:val="4"/>
              </w:numPr>
              <w:spacing w:before="60" w:after="60" w:line="240" w:lineRule="auto"/>
              <w:ind w:left="340" w:hanging="283"/>
            </w:pPr>
            <w:r w:rsidRPr="005851EC">
              <w:t>Hands on education with real paediatric cases is very meaningful</w:t>
            </w:r>
          </w:p>
          <w:p w:rsidR="00F8079D" w:rsidRPr="005851EC" w:rsidRDefault="00F8079D" w:rsidP="00F82C82">
            <w:pPr>
              <w:pStyle w:val="ListParagraph"/>
              <w:numPr>
                <w:ilvl w:val="0"/>
                <w:numId w:val="4"/>
              </w:numPr>
              <w:spacing w:before="60" w:after="60" w:line="240" w:lineRule="auto"/>
              <w:ind w:left="340" w:hanging="283"/>
            </w:pPr>
            <w:r w:rsidRPr="005851EC">
              <w:t>Junior medical officers and medical students are very interested in paediatric palliative care</w:t>
            </w:r>
          </w:p>
          <w:p w:rsidR="00F8079D" w:rsidRPr="005851EC" w:rsidRDefault="00F8079D" w:rsidP="00F82C82">
            <w:pPr>
              <w:pStyle w:val="ListParagraph"/>
              <w:numPr>
                <w:ilvl w:val="0"/>
                <w:numId w:val="4"/>
              </w:numPr>
              <w:spacing w:before="60" w:after="60" w:line="240" w:lineRule="auto"/>
              <w:ind w:left="340" w:hanging="283"/>
            </w:pPr>
            <w:r w:rsidRPr="005851EC">
              <w:t>Parent experiences and feedback provide valuable lessons for H</w:t>
            </w:r>
            <w:r w:rsidR="00022F05">
              <w:t xml:space="preserve">ealth </w:t>
            </w:r>
            <w:r>
              <w:t>C</w:t>
            </w:r>
            <w:r w:rsidR="00022F05">
              <w:t>are Professionals</w:t>
            </w:r>
          </w:p>
        </w:tc>
      </w:tr>
      <w:tr w:rsidR="00F8079D" w:rsidRPr="005851EC" w:rsidTr="00F82C82">
        <w:trPr>
          <w:trHeight w:hRule="exact" w:val="3979"/>
        </w:trPr>
        <w:tc>
          <w:tcPr>
            <w:tcW w:w="813" w:type="pct"/>
          </w:tcPr>
          <w:p w:rsidR="00F8079D" w:rsidRPr="005851EC" w:rsidRDefault="00F8079D" w:rsidP="005851EC">
            <w:pPr>
              <w:spacing w:before="160" w:line="240" w:lineRule="auto"/>
              <w:rPr>
                <w:b/>
                <w:sz w:val="28"/>
                <w:szCs w:val="28"/>
              </w:rPr>
            </w:pPr>
            <w:r w:rsidRPr="005851EC">
              <w:rPr>
                <w:b/>
                <w:sz w:val="28"/>
                <w:szCs w:val="28"/>
              </w:rPr>
              <w:t>Plans for 2016 and 2017</w:t>
            </w:r>
          </w:p>
        </w:tc>
        <w:tc>
          <w:tcPr>
            <w:tcW w:w="4187" w:type="pct"/>
          </w:tcPr>
          <w:p w:rsidR="00F8079D" w:rsidRPr="005851EC" w:rsidRDefault="00F8079D" w:rsidP="00F82C82">
            <w:pPr>
              <w:pStyle w:val="ListParagraph"/>
              <w:numPr>
                <w:ilvl w:val="0"/>
                <w:numId w:val="5"/>
              </w:numPr>
              <w:spacing w:before="60" w:after="60" w:line="240" w:lineRule="auto"/>
              <w:ind w:left="340" w:hanging="283"/>
            </w:pPr>
            <w:r w:rsidRPr="005851EC">
              <w:t>Continue to deliver pop-up, scheduled and incidental education events through Australia as per our key performance indicators</w:t>
            </w:r>
          </w:p>
          <w:p w:rsidR="00F8079D" w:rsidRPr="005851EC" w:rsidRDefault="00F8079D" w:rsidP="00F82C82">
            <w:pPr>
              <w:pStyle w:val="ListParagraph"/>
              <w:numPr>
                <w:ilvl w:val="0"/>
                <w:numId w:val="5"/>
              </w:numPr>
              <w:spacing w:before="60" w:after="60" w:line="240" w:lineRule="auto"/>
              <w:ind w:left="340" w:hanging="283"/>
            </w:pPr>
            <w:r w:rsidRPr="005851EC">
              <w:t>Develop and App for Health Professionals to support their work in urban, regional and remote areas (where networks exist)</w:t>
            </w:r>
          </w:p>
          <w:p w:rsidR="00F8079D" w:rsidRPr="005851EC" w:rsidRDefault="00F8079D" w:rsidP="00F82C82">
            <w:pPr>
              <w:pStyle w:val="ListParagraph"/>
              <w:numPr>
                <w:ilvl w:val="0"/>
                <w:numId w:val="5"/>
              </w:numPr>
              <w:spacing w:before="60" w:after="60" w:line="240" w:lineRule="auto"/>
              <w:ind w:left="340" w:hanging="283"/>
            </w:pPr>
            <w:r w:rsidRPr="005851EC">
              <w:t>Undertake research through Ethics approved activities with a view to publishing in selected journals</w:t>
            </w:r>
          </w:p>
          <w:p w:rsidR="00F8079D" w:rsidRPr="005851EC" w:rsidRDefault="00F8079D" w:rsidP="00F82C82">
            <w:pPr>
              <w:pStyle w:val="ListParagraph"/>
              <w:numPr>
                <w:ilvl w:val="0"/>
                <w:numId w:val="5"/>
              </w:numPr>
              <w:spacing w:before="60" w:after="60" w:line="240" w:lineRule="auto"/>
              <w:ind w:left="340" w:hanging="283"/>
            </w:pPr>
            <w:r w:rsidRPr="005851EC">
              <w:t>Develop a suite of education resources that can be used across Australia</w:t>
            </w:r>
          </w:p>
          <w:p w:rsidR="00F8079D" w:rsidRPr="005851EC" w:rsidRDefault="00F8079D" w:rsidP="00F82C82">
            <w:pPr>
              <w:pStyle w:val="ListParagraph"/>
              <w:numPr>
                <w:ilvl w:val="0"/>
                <w:numId w:val="5"/>
              </w:numPr>
              <w:spacing w:before="60" w:after="60" w:line="240" w:lineRule="auto"/>
              <w:ind w:left="340" w:hanging="283"/>
            </w:pPr>
            <w:r w:rsidRPr="005851EC">
              <w:t xml:space="preserve">Develop a website to host education resources in collaboration with </w:t>
            </w:r>
            <w:proofErr w:type="spellStart"/>
            <w:r w:rsidRPr="005851EC">
              <w:t>Caresearch</w:t>
            </w:r>
            <w:proofErr w:type="spellEnd"/>
          </w:p>
          <w:p w:rsidR="00F8079D" w:rsidRPr="005851EC" w:rsidRDefault="00F8079D" w:rsidP="00F82C82">
            <w:pPr>
              <w:pStyle w:val="ListParagraph"/>
              <w:numPr>
                <w:ilvl w:val="0"/>
                <w:numId w:val="5"/>
              </w:numPr>
              <w:spacing w:before="60" w:after="60" w:line="240" w:lineRule="auto"/>
              <w:ind w:left="340" w:hanging="283"/>
            </w:pPr>
            <w:r w:rsidRPr="005851EC">
              <w:t>Strengthen linkages with universities and peak bodies to promote and support education and quality outcomes for paediatric palliative care patients and families</w:t>
            </w:r>
          </w:p>
          <w:p w:rsidR="00F8079D" w:rsidRPr="005851EC" w:rsidRDefault="00F8079D" w:rsidP="00F82C82">
            <w:pPr>
              <w:pStyle w:val="ListParagraph"/>
              <w:numPr>
                <w:ilvl w:val="0"/>
                <w:numId w:val="5"/>
              </w:numPr>
              <w:spacing w:before="60" w:after="60" w:line="240" w:lineRule="auto"/>
              <w:ind w:left="340" w:hanging="283"/>
            </w:pPr>
            <w:r w:rsidRPr="005851EC">
              <w:t>Develop Allied Health education networks through Australia</w:t>
            </w:r>
          </w:p>
          <w:p w:rsidR="00F8079D" w:rsidRPr="005851EC" w:rsidRDefault="00F8079D" w:rsidP="00F82C82">
            <w:pPr>
              <w:pStyle w:val="ListParagraph"/>
              <w:numPr>
                <w:ilvl w:val="0"/>
                <w:numId w:val="5"/>
              </w:numPr>
              <w:spacing w:before="60" w:after="60" w:line="240" w:lineRule="auto"/>
              <w:ind w:left="340" w:hanging="283"/>
            </w:pPr>
            <w:r w:rsidRPr="005851EC">
              <w:t>Develop an on-line communication training communication package</w:t>
            </w:r>
          </w:p>
          <w:p w:rsidR="00F8079D" w:rsidRPr="005851EC" w:rsidRDefault="00F8079D" w:rsidP="00F82C82">
            <w:pPr>
              <w:pStyle w:val="ListParagraph"/>
              <w:numPr>
                <w:ilvl w:val="0"/>
                <w:numId w:val="5"/>
              </w:numPr>
              <w:spacing w:before="60" w:after="60" w:line="240" w:lineRule="auto"/>
              <w:ind w:left="340" w:hanging="283"/>
            </w:pPr>
            <w:r w:rsidRPr="005851EC">
              <w:t>Jointly develop care pathways</w:t>
            </w:r>
            <w:bookmarkStart w:id="0" w:name="_GoBack"/>
            <w:bookmarkEnd w:id="0"/>
          </w:p>
        </w:tc>
      </w:tr>
    </w:tbl>
    <w:p w:rsidR="00F8079D" w:rsidRPr="00C35F05" w:rsidRDefault="00F8079D" w:rsidP="00C35F05">
      <w:pPr>
        <w:spacing w:after="0"/>
        <w:rPr>
          <w:sz w:val="2"/>
          <w:szCs w:val="2"/>
        </w:rPr>
      </w:pPr>
    </w:p>
    <w:sectPr w:rsidR="00F8079D" w:rsidRPr="00C35F05" w:rsidSect="00450D23">
      <w:footerReference w:type="default" r:id="rId7"/>
      <w:headerReference w:type="first" r:id="rId8"/>
      <w:footerReference w:type="first" r:id="rId9"/>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26" w:rsidRDefault="003B3426" w:rsidP="0072523A">
      <w:r>
        <w:separator/>
      </w:r>
    </w:p>
  </w:endnote>
  <w:endnote w:type="continuationSeparator" w:id="0">
    <w:p w:rsidR="003B3426" w:rsidRDefault="003B3426"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9D" w:rsidRPr="00967CD3" w:rsidRDefault="00F8079D" w:rsidP="00450D23">
    <w:pPr>
      <w:pStyle w:val="Footer"/>
      <w:jc w:val="center"/>
      <w:rPr>
        <w:rFonts w:cs="Arial"/>
        <w:color w:val="999999"/>
        <w:sz w:val="16"/>
        <w:szCs w:val="16"/>
      </w:rPr>
    </w:pPr>
    <w:r w:rsidRPr="00967CD3">
      <w:rPr>
        <w:rFonts w:cs="Arial"/>
        <w:color w:val="999999"/>
        <w:sz w:val="16"/>
        <w:szCs w:val="16"/>
      </w:rPr>
      <w:t>Level 1, 21 Napier Close, Deakin, ACT 2600</w:t>
    </w:r>
  </w:p>
  <w:p w:rsidR="00F8079D" w:rsidRPr="00967CD3" w:rsidRDefault="00F8079D" w:rsidP="00450D23">
    <w:pPr>
      <w:pStyle w:val="Footer"/>
      <w:jc w:val="center"/>
      <w:rPr>
        <w:rFonts w:cs="Arial"/>
        <w:color w:val="999999"/>
        <w:sz w:val="16"/>
        <w:szCs w:val="16"/>
      </w:rPr>
    </w:pPr>
    <w:r w:rsidRPr="00967CD3">
      <w:rPr>
        <w:rFonts w:cs="Arial"/>
        <w:color w:val="999999"/>
        <w:sz w:val="16"/>
        <w:szCs w:val="16"/>
      </w:rPr>
      <w:t>PO Box 24 Deakin West, ACT 2600</w:t>
    </w:r>
  </w:p>
  <w:p w:rsidR="00F8079D" w:rsidRPr="00967CD3" w:rsidRDefault="00F8079D" w:rsidP="00450D23">
    <w:pPr>
      <w:pStyle w:val="Footer"/>
      <w:jc w:val="center"/>
      <w:rPr>
        <w:rFonts w:cs="Arial"/>
        <w:color w:val="999999"/>
        <w:sz w:val="16"/>
        <w:szCs w:val="16"/>
      </w:rPr>
    </w:pPr>
    <w:r w:rsidRPr="00967CD3">
      <w:rPr>
        <w:rFonts w:cs="Arial"/>
        <w:color w:val="999999"/>
        <w:sz w:val="16"/>
        <w:szCs w:val="16"/>
      </w:rPr>
      <w:t>ABN: 85 363 187 904</w:t>
    </w:r>
  </w:p>
  <w:p w:rsidR="00F8079D" w:rsidRPr="00967CD3" w:rsidRDefault="00F8079D" w:rsidP="00450D23">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F8079D" w:rsidRDefault="00F8079D" w:rsidP="00450D23">
    <w:pPr>
      <w:pStyle w:val="Footer"/>
      <w:jc w:val="center"/>
      <w:rPr>
        <w:rStyle w:val="Hyperlink"/>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F8079D" w:rsidRPr="007424DF" w:rsidRDefault="00F8079D" w:rsidP="00450D23">
    <w:pPr>
      <w:pStyle w:val="Footer"/>
      <w:jc w:val="center"/>
      <w:rPr>
        <w:rFonts w:cs="Arial"/>
        <w:color w:val="999999"/>
        <w:sz w:val="6"/>
        <w:szCs w:val="6"/>
      </w:rPr>
    </w:pPr>
  </w:p>
  <w:p w:rsidR="00F8079D" w:rsidRPr="00450D23" w:rsidRDefault="00F8079D"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9D" w:rsidRPr="00967CD3" w:rsidRDefault="00F8079D" w:rsidP="00804C65">
    <w:pPr>
      <w:pStyle w:val="Footer"/>
      <w:jc w:val="center"/>
      <w:rPr>
        <w:rFonts w:cs="Arial"/>
        <w:color w:val="999999"/>
        <w:sz w:val="16"/>
        <w:szCs w:val="16"/>
      </w:rPr>
    </w:pPr>
    <w:r w:rsidRPr="00967CD3">
      <w:rPr>
        <w:rFonts w:cs="Arial"/>
        <w:color w:val="999999"/>
        <w:sz w:val="16"/>
        <w:szCs w:val="16"/>
      </w:rPr>
      <w:t>Level 1, 21 Napier Close, Deakin, ACT 2600</w:t>
    </w:r>
  </w:p>
  <w:p w:rsidR="00F8079D" w:rsidRPr="00967CD3" w:rsidRDefault="00F8079D" w:rsidP="00804C65">
    <w:pPr>
      <w:pStyle w:val="Footer"/>
      <w:jc w:val="center"/>
      <w:rPr>
        <w:rFonts w:cs="Arial"/>
        <w:color w:val="999999"/>
        <w:sz w:val="16"/>
        <w:szCs w:val="16"/>
      </w:rPr>
    </w:pPr>
    <w:r w:rsidRPr="00967CD3">
      <w:rPr>
        <w:rFonts w:cs="Arial"/>
        <w:color w:val="999999"/>
        <w:sz w:val="16"/>
        <w:szCs w:val="16"/>
      </w:rPr>
      <w:t>PO Box 24 Deakin West, ACT 2600</w:t>
    </w:r>
  </w:p>
  <w:p w:rsidR="00F8079D" w:rsidRPr="00967CD3" w:rsidRDefault="00F8079D" w:rsidP="00804C65">
    <w:pPr>
      <w:pStyle w:val="Footer"/>
      <w:jc w:val="center"/>
      <w:rPr>
        <w:rFonts w:cs="Arial"/>
        <w:color w:val="999999"/>
        <w:sz w:val="16"/>
        <w:szCs w:val="16"/>
      </w:rPr>
    </w:pPr>
    <w:r w:rsidRPr="00967CD3">
      <w:rPr>
        <w:rFonts w:cs="Arial"/>
        <w:color w:val="999999"/>
        <w:sz w:val="16"/>
        <w:szCs w:val="16"/>
      </w:rPr>
      <w:t>ABN: 85 363 187 904</w:t>
    </w:r>
  </w:p>
  <w:p w:rsidR="00F8079D" w:rsidRPr="00967CD3" w:rsidRDefault="00F8079D" w:rsidP="00804C65">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F8079D" w:rsidRPr="00967CD3" w:rsidRDefault="00F8079D" w:rsidP="00804C65">
    <w:pPr>
      <w:pStyle w:val="Footer"/>
      <w:jc w:val="center"/>
      <w:rPr>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26" w:rsidRDefault="003B3426" w:rsidP="0072523A">
      <w:r>
        <w:separator/>
      </w:r>
    </w:p>
  </w:footnote>
  <w:footnote w:type="continuationSeparator" w:id="0">
    <w:p w:rsidR="003B3426" w:rsidRDefault="003B3426"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9D" w:rsidRDefault="00833CFC" w:rsidP="0072523A">
    <w:pPr>
      <w:pStyle w:val="Header"/>
    </w:pPr>
    <w:r>
      <w:rPr>
        <w:noProof/>
        <w:lang w:eastAsia="en-AU"/>
      </w:rPr>
      <w:drawing>
        <wp:anchor distT="0" distB="0" distL="114300" distR="114300" simplePos="0" relativeHeight="251657728" behindDoc="1" locked="0" layoutInCell="1" allowOverlap="1">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124"/>
                  <a:stretch>
                    <a:fillRect/>
                  </a:stretch>
                </pic:blipFill>
                <pic:spPr bwMode="auto">
                  <a:xfrm>
                    <a:off x="0" y="0"/>
                    <a:ext cx="2341245" cy="1390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876"/>
    <w:multiLevelType w:val="hybridMultilevel"/>
    <w:tmpl w:val="1BC0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3C1B0D"/>
    <w:multiLevelType w:val="hybridMultilevel"/>
    <w:tmpl w:val="E356E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70306"/>
    <w:multiLevelType w:val="hybridMultilevel"/>
    <w:tmpl w:val="40E4C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33FF8"/>
    <w:multiLevelType w:val="hybridMultilevel"/>
    <w:tmpl w:val="C31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8F5585"/>
    <w:multiLevelType w:val="hybridMultilevel"/>
    <w:tmpl w:val="9B02170A"/>
    <w:lvl w:ilvl="0" w:tplc="98428FA2">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21792C"/>
    <w:multiLevelType w:val="hybridMultilevel"/>
    <w:tmpl w:val="ABF08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2"/>
    <w:rsid w:val="00022F05"/>
    <w:rsid w:val="000256E5"/>
    <w:rsid w:val="000375EC"/>
    <w:rsid w:val="000509B1"/>
    <w:rsid w:val="00092537"/>
    <w:rsid w:val="000948D6"/>
    <w:rsid w:val="000E75B3"/>
    <w:rsid w:val="00107E0F"/>
    <w:rsid w:val="00110477"/>
    <w:rsid w:val="0014152B"/>
    <w:rsid w:val="001847A1"/>
    <w:rsid w:val="001C5BD9"/>
    <w:rsid w:val="001F1254"/>
    <w:rsid w:val="00222018"/>
    <w:rsid w:val="002403C5"/>
    <w:rsid w:val="00291386"/>
    <w:rsid w:val="002A7C53"/>
    <w:rsid w:val="003B1886"/>
    <w:rsid w:val="003B3426"/>
    <w:rsid w:val="003E24DC"/>
    <w:rsid w:val="003F3366"/>
    <w:rsid w:val="00416B9C"/>
    <w:rsid w:val="00421B9D"/>
    <w:rsid w:val="004344F5"/>
    <w:rsid w:val="00435A80"/>
    <w:rsid w:val="00450D23"/>
    <w:rsid w:val="004B7229"/>
    <w:rsid w:val="004B72B6"/>
    <w:rsid w:val="004C27A8"/>
    <w:rsid w:val="004F1ADB"/>
    <w:rsid w:val="00532848"/>
    <w:rsid w:val="005410BC"/>
    <w:rsid w:val="005851EC"/>
    <w:rsid w:val="005D552A"/>
    <w:rsid w:val="005D7F6A"/>
    <w:rsid w:val="005E541D"/>
    <w:rsid w:val="005F3963"/>
    <w:rsid w:val="00667311"/>
    <w:rsid w:val="00685614"/>
    <w:rsid w:val="0072079C"/>
    <w:rsid w:val="00725061"/>
    <w:rsid w:val="0072523A"/>
    <w:rsid w:val="007424DF"/>
    <w:rsid w:val="00770349"/>
    <w:rsid w:val="007D14B4"/>
    <w:rsid w:val="007F464A"/>
    <w:rsid w:val="00804C65"/>
    <w:rsid w:val="00822C48"/>
    <w:rsid w:val="00833CFC"/>
    <w:rsid w:val="0084016E"/>
    <w:rsid w:val="008823B5"/>
    <w:rsid w:val="0089560A"/>
    <w:rsid w:val="008A1777"/>
    <w:rsid w:val="008D4757"/>
    <w:rsid w:val="008F6722"/>
    <w:rsid w:val="00902F17"/>
    <w:rsid w:val="00914180"/>
    <w:rsid w:val="00934176"/>
    <w:rsid w:val="00952350"/>
    <w:rsid w:val="00961212"/>
    <w:rsid w:val="00967CD3"/>
    <w:rsid w:val="00992D4E"/>
    <w:rsid w:val="009A1A7E"/>
    <w:rsid w:val="009F1ED4"/>
    <w:rsid w:val="00A15F8D"/>
    <w:rsid w:val="00A262D3"/>
    <w:rsid w:val="00A365AC"/>
    <w:rsid w:val="00A67A87"/>
    <w:rsid w:val="00A77DCF"/>
    <w:rsid w:val="00AC0734"/>
    <w:rsid w:val="00B21257"/>
    <w:rsid w:val="00B37DFE"/>
    <w:rsid w:val="00B45F75"/>
    <w:rsid w:val="00B51D2D"/>
    <w:rsid w:val="00B70269"/>
    <w:rsid w:val="00BC2692"/>
    <w:rsid w:val="00C14A0B"/>
    <w:rsid w:val="00C35F05"/>
    <w:rsid w:val="00C55EC6"/>
    <w:rsid w:val="00CF6693"/>
    <w:rsid w:val="00D54478"/>
    <w:rsid w:val="00D6399B"/>
    <w:rsid w:val="00D8655E"/>
    <w:rsid w:val="00D946C0"/>
    <w:rsid w:val="00DC18F1"/>
    <w:rsid w:val="00DF0C80"/>
    <w:rsid w:val="00E34652"/>
    <w:rsid w:val="00E34AB4"/>
    <w:rsid w:val="00E54CCC"/>
    <w:rsid w:val="00E63FD0"/>
    <w:rsid w:val="00E734CD"/>
    <w:rsid w:val="00E85354"/>
    <w:rsid w:val="00E97A86"/>
    <w:rsid w:val="00EB6863"/>
    <w:rsid w:val="00EE097B"/>
    <w:rsid w:val="00EE7D63"/>
    <w:rsid w:val="00F0136E"/>
    <w:rsid w:val="00F314C7"/>
    <w:rsid w:val="00F52EC4"/>
    <w:rsid w:val="00F8079D"/>
    <w:rsid w:val="00F82C82"/>
    <w:rsid w:val="00FA36F8"/>
    <w:rsid w:val="00FB54EB"/>
    <w:rsid w:val="00FC0302"/>
    <w:rsid w:val="00FE1AD4"/>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FFD8770-AF5B-4259-8407-982C06DF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after="160" w:line="276" w:lineRule="auto"/>
    </w:pPr>
    <w:rPr>
      <w:lang w:eastAsia="en-US"/>
    </w:rPr>
  </w:style>
  <w:style w:type="paragraph" w:styleId="Heading1">
    <w:name w:val="heading 1"/>
    <w:aliases w:val="Heading"/>
    <w:basedOn w:val="Heading2"/>
    <w:next w:val="Normal"/>
    <w:link w:val="Heading1Char"/>
    <w:uiPriority w:val="99"/>
    <w:qFormat/>
    <w:rsid w:val="00961212"/>
    <w:pPr>
      <w:outlineLvl w:val="0"/>
    </w:pPr>
  </w:style>
  <w:style w:type="paragraph" w:styleId="Heading2">
    <w:name w:val="heading 2"/>
    <w:basedOn w:val="Normal"/>
    <w:next w:val="Normal"/>
    <w:link w:val="Heading2Char"/>
    <w:uiPriority w:val="99"/>
    <w:qFormat/>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9"/>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9"/>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locked/>
    <w:rsid w:val="00961212"/>
    <w:rPr>
      <w:rFonts w:cs="Times New Roman"/>
      <w:b/>
      <w:color w:val="FF4539"/>
      <w:sz w:val="36"/>
      <w:szCs w:val="36"/>
    </w:rPr>
  </w:style>
  <w:style w:type="character" w:customStyle="1" w:styleId="Heading2Char">
    <w:name w:val="Heading 2 Char"/>
    <w:basedOn w:val="DefaultParagraphFont"/>
    <w:link w:val="Heading2"/>
    <w:uiPriority w:val="99"/>
    <w:locked/>
    <w:rsid w:val="00961212"/>
    <w:rPr>
      <w:rFonts w:cs="Times New Roman"/>
      <w:b/>
      <w:color w:val="FF4539"/>
      <w:sz w:val="36"/>
      <w:szCs w:val="36"/>
    </w:rPr>
  </w:style>
  <w:style w:type="character" w:customStyle="1" w:styleId="Heading3Char">
    <w:name w:val="Heading 3 Char"/>
    <w:aliases w:val="Sub-heading Char"/>
    <w:basedOn w:val="DefaultParagraphFont"/>
    <w:link w:val="Heading3"/>
    <w:uiPriority w:val="99"/>
    <w:locked/>
    <w:rsid w:val="00961212"/>
    <w:rPr>
      <w:rFonts w:cs="Times New Roman"/>
      <w:b/>
      <w:color w:val="FF4539"/>
      <w:sz w:val="28"/>
      <w:szCs w:val="28"/>
    </w:rPr>
  </w:style>
  <w:style w:type="character" w:customStyle="1" w:styleId="Heading4Char">
    <w:name w:val="Heading 4 Char"/>
    <w:aliases w:val="Sub-heading 2 Char"/>
    <w:basedOn w:val="DefaultParagraphFont"/>
    <w:link w:val="Heading4"/>
    <w:uiPriority w:val="99"/>
    <w:locked/>
    <w:rsid w:val="00961212"/>
    <w:rPr>
      <w:rFonts w:cs="Times New Roman"/>
      <w:b/>
      <w:color w:val="003057"/>
      <w:sz w:val="28"/>
      <w:szCs w:val="28"/>
    </w:rPr>
  </w:style>
  <w:style w:type="paragraph" w:styleId="Header">
    <w:name w:val="header"/>
    <w:basedOn w:val="Normal"/>
    <w:link w:val="HeaderChar"/>
    <w:uiPriority w:val="99"/>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1212"/>
    <w:rPr>
      <w:rFonts w:cs="Times New Roman"/>
    </w:rPr>
  </w:style>
  <w:style w:type="paragraph" w:styleId="Footer">
    <w:name w:val="footer"/>
    <w:basedOn w:val="Normal"/>
    <w:link w:val="FooterChar"/>
    <w:uiPriority w:val="99"/>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1212"/>
    <w:rPr>
      <w:rFonts w:cs="Times New Roman"/>
    </w:rPr>
  </w:style>
  <w:style w:type="character" w:styleId="Emphasis">
    <w:name w:val="Emphasis"/>
    <w:aliases w:val="PCA"/>
    <w:basedOn w:val="DefaultParagraphFont"/>
    <w:uiPriority w:val="99"/>
    <w:qFormat/>
    <w:rsid w:val="00961212"/>
    <w:rPr>
      <w:rFonts w:cs="Times New Roman"/>
      <w:b/>
      <w:color w:val="003057"/>
    </w:rPr>
  </w:style>
  <w:style w:type="paragraph" w:styleId="Title">
    <w:name w:val="Title"/>
    <w:basedOn w:val="Normal"/>
    <w:next w:val="Normal"/>
    <w:link w:val="TitleChar"/>
    <w:uiPriority w:val="99"/>
    <w:qFormat/>
    <w:rsid w:val="004C27A8"/>
    <w:pPr>
      <w:spacing w:before="600" w:after="200"/>
    </w:pPr>
    <w:rPr>
      <w:b/>
      <w:color w:val="003057"/>
      <w:sz w:val="48"/>
      <w:szCs w:val="48"/>
    </w:rPr>
  </w:style>
  <w:style w:type="character" w:customStyle="1" w:styleId="TitleChar">
    <w:name w:val="Title Char"/>
    <w:basedOn w:val="DefaultParagraphFont"/>
    <w:link w:val="Title"/>
    <w:uiPriority w:val="99"/>
    <w:locked/>
    <w:rsid w:val="004C27A8"/>
    <w:rPr>
      <w:rFonts w:cs="Times New Roman"/>
      <w:b/>
      <w:color w:val="003057"/>
      <w:sz w:val="48"/>
      <w:szCs w:val="48"/>
    </w:rPr>
  </w:style>
  <w:style w:type="paragraph" w:styleId="ListParagraph">
    <w:name w:val="List Paragraph"/>
    <w:basedOn w:val="Normal"/>
    <w:uiPriority w:val="99"/>
    <w:qFormat/>
    <w:rsid w:val="00961212"/>
    <w:pPr>
      <w:ind w:left="720"/>
      <w:contextualSpacing/>
    </w:pPr>
  </w:style>
  <w:style w:type="paragraph" w:styleId="FootnoteText">
    <w:name w:val="footnote text"/>
    <w:basedOn w:val="Normal"/>
    <w:link w:val="FootnoteTextChar"/>
    <w:uiPriority w:val="99"/>
    <w:semiHidden/>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375EC"/>
    <w:rPr>
      <w:rFonts w:cs="Times New Roman"/>
      <w:sz w:val="20"/>
      <w:szCs w:val="20"/>
    </w:rPr>
  </w:style>
  <w:style w:type="character" w:styleId="FootnoteReference">
    <w:name w:val="footnote reference"/>
    <w:basedOn w:val="DefaultParagraphFont"/>
    <w:uiPriority w:val="99"/>
    <w:semiHidden/>
    <w:rsid w:val="000375EC"/>
    <w:rPr>
      <w:rFonts w:cs="Times New Roman"/>
      <w:vertAlign w:val="superscript"/>
    </w:rPr>
  </w:style>
  <w:style w:type="character" w:styleId="Hyperlink">
    <w:name w:val="Hyperlink"/>
    <w:basedOn w:val="DefaultParagraphFont"/>
    <w:uiPriority w:val="99"/>
    <w:rsid w:val="00914180"/>
    <w:rPr>
      <w:rFonts w:cs="Times New Roman"/>
      <w:color w:val="0563C1"/>
      <w:u w:val="single"/>
    </w:rPr>
  </w:style>
  <w:style w:type="character" w:styleId="SubtleEmphasis">
    <w:name w:val="Subtle Emphasis"/>
    <w:basedOn w:val="DefaultParagraphFont"/>
    <w:uiPriority w:val="99"/>
    <w:qFormat/>
    <w:rsid w:val="00EE097B"/>
    <w:rPr>
      <w:rFonts w:cs="Times New Roman"/>
      <w:i/>
      <w:iCs/>
      <w:color w:val="404040"/>
    </w:rPr>
  </w:style>
  <w:style w:type="paragraph" w:styleId="Subtitle">
    <w:name w:val="Subtitle"/>
    <w:aliases w:val="Footnoting"/>
    <w:basedOn w:val="FootnoteText"/>
    <w:next w:val="Normal"/>
    <w:link w:val="SubtitleChar"/>
    <w:uiPriority w:val="99"/>
    <w:qFormat/>
    <w:rsid w:val="00EE097B"/>
    <w:rPr>
      <w:sz w:val="16"/>
      <w:szCs w:val="16"/>
    </w:rPr>
  </w:style>
  <w:style w:type="character" w:customStyle="1" w:styleId="SubtitleChar">
    <w:name w:val="Subtitle Char"/>
    <w:aliases w:val="Footnoting Char"/>
    <w:basedOn w:val="DefaultParagraphFont"/>
    <w:link w:val="Subtitle"/>
    <w:uiPriority w:val="99"/>
    <w:locked/>
    <w:rsid w:val="00EE097B"/>
    <w:rPr>
      <w:rFonts w:cs="Times New Roman"/>
      <w:sz w:val="16"/>
      <w:szCs w:val="16"/>
    </w:rPr>
  </w:style>
  <w:style w:type="table" w:styleId="TableGrid">
    <w:name w:val="Table Grid"/>
    <w:basedOn w:val="TableNormal"/>
    <w:uiPriority w:val="99"/>
    <w:rsid w:val="000E75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5F05"/>
    <w:rPr>
      <w:rFonts w:ascii="Segoe UI" w:hAnsi="Segoe UI" w:cs="Segoe UI"/>
      <w:sz w:val="18"/>
      <w:szCs w:val="18"/>
    </w:rPr>
  </w:style>
  <w:style w:type="character" w:styleId="PlaceholderText">
    <w:name w:val="Placeholder Text"/>
    <w:basedOn w:val="DefaultParagraphFont"/>
    <w:uiPriority w:val="99"/>
    <w:semiHidden/>
    <w:rsid w:val="0029138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3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4738</Characters>
  <Application>Microsoft Office Word</Application>
  <DocSecurity>4</DocSecurity>
  <Lines>249</Lines>
  <Paragraphs>193</Paragraphs>
  <ScaleCrop>false</ScaleCrop>
  <HeadingPairs>
    <vt:vector size="2" baseType="variant">
      <vt:variant>
        <vt:lpstr>Title</vt:lpstr>
      </vt:variant>
      <vt:variant>
        <vt:i4>1</vt:i4>
      </vt:variant>
    </vt:vector>
  </HeadingPairs>
  <TitlesOfParts>
    <vt:vector size="1" baseType="lpstr">
      <vt:lpstr>National Palliative Care Grant Recipients’ Forum</vt:lpstr>
    </vt:vector>
  </TitlesOfParts>
  <Company>Forward.IT PTY LTD</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Palliative Care Grant Recipients’ Forum</dc:title>
  <dc:creator>Lauren Ognenovski</dc:creator>
  <cp:lastModifiedBy>Lauren Ognenovski</cp:lastModifiedBy>
  <cp:revision>2</cp:revision>
  <cp:lastPrinted>2016-03-11T02:32:00Z</cp:lastPrinted>
  <dcterms:created xsi:type="dcterms:W3CDTF">2016-03-23T23:12:00Z</dcterms:created>
  <dcterms:modified xsi:type="dcterms:W3CDTF">2016-03-23T23:12:00Z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