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C48" w:rsidRDefault="008F6722" w:rsidP="00FA36F8">
      <w:pPr>
        <w:pStyle w:val="Title"/>
        <w:spacing w:before="0" w:after="0"/>
        <w:rPr>
          <w:sz w:val="40"/>
          <w:szCs w:val="40"/>
        </w:rPr>
      </w:pPr>
      <w:r>
        <w:rPr>
          <w:sz w:val="40"/>
          <w:szCs w:val="40"/>
        </w:rPr>
        <w:t xml:space="preserve">National </w:t>
      </w:r>
      <w:r w:rsidR="000E75B3" w:rsidRPr="000E75B3">
        <w:rPr>
          <w:sz w:val="40"/>
          <w:szCs w:val="40"/>
        </w:rPr>
        <w:t>Palliative Care Grant Recipient</w:t>
      </w:r>
      <w:r>
        <w:rPr>
          <w:sz w:val="40"/>
          <w:szCs w:val="40"/>
        </w:rPr>
        <w:t>s’</w:t>
      </w:r>
      <w:r w:rsidR="000E75B3" w:rsidRPr="000E75B3">
        <w:rPr>
          <w:sz w:val="40"/>
          <w:szCs w:val="40"/>
        </w:rPr>
        <w:t xml:space="preserve"> Forum</w:t>
      </w:r>
    </w:p>
    <w:p w:rsidR="00421B9D" w:rsidRPr="00FC0302" w:rsidRDefault="00B37DFE" w:rsidP="00FC0302">
      <w:pPr>
        <w:spacing w:after="0"/>
        <w:rPr>
          <w:b/>
          <w:color w:val="003057"/>
        </w:rPr>
      </w:pPr>
      <w:r w:rsidRPr="00FC0302">
        <w:rPr>
          <w:b/>
          <w:color w:val="003057"/>
        </w:rPr>
        <w:t xml:space="preserve">7-8 April 2016 | </w:t>
      </w:r>
      <w:r w:rsidR="00421B9D" w:rsidRPr="00FC0302">
        <w:rPr>
          <w:b/>
          <w:color w:val="003057"/>
        </w:rPr>
        <w:t>Vibe Hotel, Canberra Airport</w:t>
      </w:r>
    </w:p>
    <w:p w:rsidR="000E75B3" w:rsidRDefault="003E24DC" w:rsidP="00967CD3">
      <w:pPr>
        <w:spacing w:before="300" w:after="300"/>
        <w:rPr>
          <w:b/>
          <w:color w:val="FF4539"/>
          <w:sz w:val="36"/>
          <w:szCs w:val="36"/>
        </w:rPr>
      </w:pPr>
      <w:r>
        <w:rPr>
          <w:b/>
          <w:color w:val="FF4539"/>
          <w:sz w:val="36"/>
          <w:szCs w:val="36"/>
        </w:rPr>
        <w:t>Project Information Form</w:t>
      </w:r>
    </w:p>
    <w:p w:rsidR="003E24DC" w:rsidRPr="00B45F75" w:rsidRDefault="001F1254" w:rsidP="00B45F75">
      <w:pPr>
        <w:tabs>
          <w:tab w:val="left" w:pos="1418"/>
        </w:tabs>
        <w:spacing w:before="300" w:after="300"/>
        <w:rPr>
          <w:color w:val="003057"/>
        </w:rPr>
      </w:pPr>
      <w:r w:rsidRPr="00B45F75">
        <w:rPr>
          <w:b/>
          <w:color w:val="003057"/>
          <w:sz w:val="36"/>
          <w:szCs w:val="36"/>
        </w:rPr>
        <w:t xml:space="preserve">Project: </w:t>
      </w:r>
      <w:r w:rsidR="002A7C53">
        <w:rPr>
          <w:b/>
          <w:color w:val="808080" w:themeColor="background1" w:themeShade="80"/>
          <w:sz w:val="36"/>
          <w:szCs w:val="36"/>
        </w:rPr>
        <w:tab/>
      </w:r>
      <w:sdt>
        <w:sdtPr>
          <w:rPr>
            <w:color w:val="003057"/>
          </w:rPr>
          <w:id w:val="1260639088"/>
          <w:placeholder>
            <w:docPart w:val="9B25A445215D4C56AF44CBB95D2CA197"/>
          </w:placeholder>
          <w:dropDownList>
            <w:listItem w:displayText="Click to choose your project." w:value="Click to choose your project."/>
            <w:listItem w:displayText="Australian Institute of Health and Welfare" w:value="Australian Institute of Health and Welfare"/>
            <w:listItem w:displayText="CareSearch" w:value="CareSearch"/>
            <w:listItem w:displayText="Education Modules on End of Life Care in Acute Hospitals" w:value="Education Modules on End of Life Care in Acute Hospitals"/>
            <w:listItem w:displayText="HammondCare Palliative and Supportive Care Service" w:value="HammondCare Palliative and Supportive Care Service"/>
            <w:listItem w:displayText="Listen, Acknowledge, Respond" w:value="Listen, Acknowledge, Respond"/>
            <w:listItem w:displayText="Online Resource for Religious and Cultural Advance Care Planning" w:value="Online Resource for Religious and Cultural Advance Care Planning"/>
            <w:listItem w:displayText="Paediatric Palliative Care National Education &amp; Quality Improvement Collaborative" w:value="Paediatric Palliative Care National Education &amp; Quality Improvement Collaborative"/>
            <w:listItem w:displayText="Palliative Care Australia" w:value="Palliative Care Australia"/>
            <w:listItem w:displayText="Palliative Care Clinical Studies Collaborative" w:value="Palliative Care Clinical Studies Collaborative"/>
            <w:listItem w:displayText="Palliative Care Education and Training Collaborative" w:value="Palliative Care Education and Training Collaborative"/>
            <w:listItem w:displayText="Palliative Care Outcomes Collaborative" w:value="Palliative Care Outcomes Collaborative"/>
            <w:listItem w:displayText="Palliative Care Training and Information Online Portal" w:value="Palliative Care Training and Information Online Portal"/>
            <w:listItem w:displayText="Respecting Patient Choices" w:value="Respecting Patient Choices"/>
            <w:listItem w:displayText="Towards True Community Care" w:value="Towards True Community Care"/>
            <w:listItem w:displayText="Training Counsellors for Carers of Palliative Patients" w:value="Training Counsellors for Carers of Palliative Patients"/>
          </w:dropDownList>
        </w:sdtPr>
        <w:sdtEndPr/>
        <w:sdtContent>
          <w:r w:rsidR="00AB49EB">
            <w:rPr>
              <w:color w:val="003057"/>
            </w:rPr>
            <w:t>Towards True Community Care</w:t>
          </w:r>
        </w:sdtContent>
      </w:sdt>
      <w:r w:rsidR="00AB49EB">
        <w:rPr>
          <w:color w:val="003057"/>
        </w:rPr>
        <w:t xml:space="preserve"> &amp; Creating Cost Effective Care</w:t>
      </w:r>
    </w:p>
    <w:tbl>
      <w:tblPr>
        <w:tblStyle w:val="TableGrid"/>
        <w:tblW w:w="5001" w:type="pct"/>
        <w:tblBorders>
          <w:insideV w:val="none" w:sz="0" w:space="0" w:color="auto"/>
        </w:tblBorders>
        <w:tblLook w:val="04A0" w:firstRow="1" w:lastRow="0" w:firstColumn="1" w:lastColumn="0" w:noHBand="0" w:noVBand="1"/>
      </w:tblPr>
      <w:tblGrid>
        <w:gridCol w:w="1467"/>
        <w:gridCol w:w="7551"/>
      </w:tblGrid>
      <w:tr w:rsidR="000E75B3" w:rsidRPr="000E75B3" w:rsidTr="001820B8">
        <w:trPr>
          <w:cantSplit/>
          <w:trHeight w:hRule="exact" w:val="2755"/>
        </w:trPr>
        <w:tc>
          <w:tcPr>
            <w:tcW w:w="813" w:type="pct"/>
            <w:tcBorders>
              <w:right w:val="single" w:sz="4" w:space="0" w:color="auto"/>
            </w:tcBorders>
          </w:tcPr>
          <w:p w:rsidR="000E75B3" w:rsidRPr="000E75B3" w:rsidRDefault="003E24DC" w:rsidP="00F0136E">
            <w:pPr>
              <w:spacing w:before="160" w:after="160" w:line="240" w:lineRule="auto"/>
              <w:rPr>
                <w:b/>
                <w:sz w:val="28"/>
                <w:szCs w:val="28"/>
              </w:rPr>
            </w:pPr>
            <w:r>
              <w:rPr>
                <w:b/>
                <w:sz w:val="28"/>
                <w:szCs w:val="28"/>
              </w:rPr>
              <w:t>Key objectives</w:t>
            </w:r>
          </w:p>
        </w:tc>
        <w:tc>
          <w:tcPr>
            <w:tcW w:w="4187" w:type="pct"/>
            <w:tcBorders>
              <w:left w:val="single" w:sz="4" w:space="0" w:color="auto"/>
            </w:tcBorders>
          </w:tcPr>
          <w:p w:rsidR="00AB49EB" w:rsidRDefault="00AB49EB" w:rsidP="00AB49EB">
            <w:r>
              <w:t xml:space="preserve">“Towards True Community Care” and “Creating Cost effective Care” are both part of the overall Listen, Acknowledge, Respond project, along with the third activity “Developing Sector Skills”. Combined, the </w:t>
            </w:r>
            <w:r w:rsidRPr="00A44EAA">
              <w:t>project is built around the hypothesis that when appropriate allied health and social work is activated earlier in a patient disease trajectory there are both qualitative and quantitative improvements in patient outcomes, as well as improvements for families and care givers.</w:t>
            </w:r>
            <w:r>
              <w:t xml:space="preserve"> In addition, the project aims to prove the treatment model is cost-effective and sustainable using current Medicare block-funding. </w:t>
            </w:r>
          </w:p>
          <w:p w:rsidR="00AB49EB" w:rsidRDefault="00AB49EB" w:rsidP="00AB49EB"/>
          <w:p w:rsidR="003E24DC" w:rsidRPr="003E24DC" w:rsidRDefault="003E24DC" w:rsidP="00AB49EB">
            <w:pPr>
              <w:spacing w:before="160" w:after="160" w:line="240" w:lineRule="auto"/>
            </w:pPr>
          </w:p>
        </w:tc>
      </w:tr>
      <w:tr w:rsidR="000E75B3" w:rsidRPr="000E75B3" w:rsidTr="001820B8">
        <w:trPr>
          <w:cantSplit/>
          <w:trHeight w:hRule="exact" w:val="4961"/>
        </w:trPr>
        <w:tc>
          <w:tcPr>
            <w:tcW w:w="813" w:type="pct"/>
            <w:tcBorders>
              <w:right w:val="single" w:sz="4" w:space="0" w:color="auto"/>
            </w:tcBorders>
          </w:tcPr>
          <w:p w:rsidR="000E75B3" w:rsidRDefault="003E24DC" w:rsidP="00F0136E">
            <w:pPr>
              <w:spacing w:before="160" w:after="160" w:line="240" w:lineRule="auto"/>
              <w:rPr>
                <w:b/>
                <w:sz w:val="28"/>
                <w:szCs w:val="28"/>
              </w:rPr>
            </w:pPr>
            <w:r>
              <w:rPr>
                <w:b/>
                <w:sz w:val="28"/>
                <w:szCs w:val="28"/>
              </w:rPr>
              <w:t>Key outcomes</w:t>
            </w:r>
          </w:p>
          <w:p w:rsidR="00450D23" w:rsidRPr="00450D23" w:rsidRDefault="00450D23" w:rsidP="00F0136E">
            <w:pPr>
              <w:spacing w:before="160" w:after="160" w:line="240" w:lineRule="auto"/>
              <w:rPr>
                <w:i/>
                <w:sz w:val="16"/>
                <w:szCs w:val="16"/>
              </w:rPr>
            </w:pPr>
            <w:r w:rsidRPr="00450D23">
              <w:rPr>
                <w:i/>
                <w:sz w:val="16"/>
                <w:szCs w:val="16"/>
              </w:rPr>
              <w:t>(e.g. resource development, education and training)</w:t>
            </w:r>
          </w:p>
        </w:tc>
        <w:tc>
          <w:tcPr>
            <w:tcW w:w="4187" w:type="pct"/>
            <w:tcBorders>
              <w:left w:val="single" w:sz="4" w:space="0" w:color="auto"/>
            </w:tcBorders>
          </w:tcPr>
          <w:p w:rsidR="004F1ADB" w:rsidRDefault="00AB49EB" w:rsidP="00AB49EB">
            <w:pPr>
              <w:spacing w:before="160" w:after="160" w:line="240" w:lineRule="auto"/>
            </w:pPr>
            <w:r>
              <w:t>These two activities will:</w:t>
            </w:r>
          </w:p>
          <w:p w:rsidR="00AB49EB" w:rsidRDefault="00AB49EB" w:rsidP="007F3CA8">
            <w:pPr>
              <w:pStyle w:val="ListParagraph"/>
              <w:numPr>
                <w:ilvl w:val="0"/>
                <w:numId w:val="2"/>
              </w:numPr>
              <w:autoSpaceDE w:val="0"/>
              <w:autoSpaceDN w:val="0"/>
              <w:adjustRightInd w:val="0"/>
              <w:spacing w:line="240" w:lineRule="auto"/>
            </w:pPr>
            <w:r>
              <w:t xml:space="preserve">Benchmark the existing skills and knowledge of health care professionals and then measure the change in skills and knowledge after participating in the project training. This will involve surveys and interviews with health care professionals, as well as with patients and their primary caregivers to assess if there is a perceived difference in care. </w:t>
            </w:r>
          </w:p>
          <w:p w:rsidR="00AB49EB" w:rsidRDefault="00AB49EB" w:rsidP="007F3CA8">
            <w:pPr>
              <w:pStyle w:val="ListParagraph"/>
              <w:numPr>
                <w:ilvl w:val="0"/>
                <w:numId w:val="2"/>
              </w:numPr>
              <w:autoSpaceDE w:val="0"/>
              <w:autoSpaceDN w:val="0"/>
              <w:adjustRightInd w:val="0"/>
              <w:spacing w:line="240" w:lineRule="auto"/>
            </w:pPr>
            <w:r>
              <w:t xml:space="preserve">Develop a cost measurement tool to understand the costs of care for </w:t>
            </w:r>
            <w:r w:rsidRPr="00A44EAA">
              <w:t>people living with an advanced chronic or terminal illness, their families and caregivers</w:t>
            </w:r>
            <w:r>
              <w:t xml:space="preserve">. In addition 10 patients and their primary care givers will be interviewed to develop case studies of patient’s treatment journeys, which will be applied against the cost measurement matrix to understand and compare the costs of care. </w:t>
            </w:r>
          </w:p>
          <w:p w:rsidR="00AB49EB" w:rsidRPr="003E24DC" w:rsidRDefault="00AB49EB" w:rsidP="009026E7">
            <w:pPr>
              <w:pStyle w:val="ListParagraph"/>
              <w:numPr>
                <w:ilvl w:val="0"/>
                <w:numId w:val="2"/>
              </w:numPr>
              <w:autoSpaceDE w:val="0"/>
              <w:autoSpaceDN w:val="0"/>
              <w:adjustRightInd w:val="0"/>
              <w:spacing w:line="240" w:lineRule="auto"/>
            </w:pPr>
            <w:r>
              <w:t xml:space="preserve">Establish up to 6 trial sites to test how to set up and administer the new treatment model in a range of care settings. This will involve interviews with key administrators at each site, as well as surveys and focus groups with members of trans-disciplinary teams. </w:t>
            </w:r>
          </w:p>
        </w:tc>
      </w:tr>
      <w:tr w:rsidR="000E75B3" w:rsidRPr="000E75B3" w:rsidTr="001820B8">
        <w:trPr>
          <w:cantSplit/>
          <w:trHeight w:hRule="exact" w:val="2278"/>
        </w:trPr>
        <w:tc>
          <w:tcPr>
            <w:tcW w:w="813" w:type="pct"/>
            <w:tcBorders>
              <w:right w:val="single" w:sz="4" w:space="0" w:color="auto"/>
            </w:tcBorders>
          </w:tcPr>
          <w:p w:rsidR="000E75B3" w:rsidRDefault="003E24DC" w:rsidP="00F0136E">
            <w:pPr>
              <w:spacing w:before="160" w:after="160" w:line="240" w:lineRule="auto"/>
              <w:rPr>
                <w:b/>
                <w:sz w:val="28"/>
                <w:szCs w:val="28"/>
              </w:rPr>
            </w:pPr>
            <w:r>
              <w:rPr>
                <w:b/>
                <w:sz w:val="28"/>
                <w:szCs w:val="28"/>
              </w:rPr>
              <w:t>Target audience</w:t>
            </w:r>
          </w:p>
          <w:p w:rsidR="00A365AC" w:rsidRPr="00A365AC" w:rsidRDefault="00A365AC" w:rsidP="00F0136E">
            <w:pPr>
              <w:spacing w:before="160" w:after="160" w:line="240" w:lineRule="auto"/>
              <w:rPr>
                <w:i/>
                <w:sz w:val="16"/>
                <w:szCs w:val="16"/>
              </w:rPr>
            </w:pPr>
            <w:r>
              <w:rPr>
                <w:i/>
                <w:sz w:val="16"/>
                <w:szCs w:val="16"/>
              </w:rPr>
              <w:t>(</w:t>
            </w:r>
            <w:proofErr w:type="gramStart"/>
            <w:r>
              <w:rPr>
                <w:i/>
                <w:sz w:val="16"/>
                <w:szCs w:val="16"/>
              </w:rPr>
              <w:t>e.g</w:t>
            </w:r>
            <w:proofErr w:type="gramEnd"/>
            <w:r>
              <w:rPr>
                <w:i/>
                <w:sz w:val="16"/>
                <w:szCs w:val="16"/>
              </w:rPr>
              <w:t>. who is the target audience/s for your project activities?)</w:t>
            </w:r>
          </w:p>
        </w:tc>
        <w:tc>
          <w:tcPr>
            <w:tcW w:w="4187" w:type="pct"/>
            <w:tcBorders>
              <w:left w:val="single" w:sz="4" w:space="0" w:color="auto"/>
            </w:tcBorders>
          </w:tcPr>
          <w:p w:rsidR="00BF3B42" w:rsidRDefault="00BF3B42" w:rsidP="00BF3B42">
            <w:pPr>
              <w:spacing w:before="160" w:after="160" w:line="240" w:lineRule="auto"/>
            </w:pPr>
            <w:r>
              <w:t xml:space="preserve">The research aspects of these two activities will involve health care professionals, administrators within trial sites, </w:t>
            </w:r>
            <w:r w:rsidR="00907DF1">
              <w:t xml:space="preserve">and </w:t>
            </w:r>
            <w:r>
              <w:t xml:space="preserve">those living with dying (patients, care givers and family members). </w:t>
            </w:r>
          </w:p>
          <w:p w:rsidR="000E75B3" w:rsidRPr="003E24DC" w:rsidRDefault="00BF3B42" w:rsidP="00BF3B42">
            <w:pPr>
              <w:spacing w:before="160" w:after="160" w:line="240" w:lineRule="auto"/>
            </w:pPr>
            <w:r>
              <w:t>The research outcomes will build the evidence for a new model of care and will be of use to the health care industry and the government when considering policy changes.</w:t>
            </w:r>
          </w:p>
        </w:tc>
      </w:tr>
      <w:tr w:rsidR="000E75B3" w:rsidRPr="000E75B3" w:rsidTr="001820B8">
        <w:trPr>
          <w:trHeight w:hRule="exact" w:val="4417"/>
        </w:trPr>
        <w:tc>
          <w:tcPr>
            <w:tcW w:w="813" w:type="pct"/>
            <w:tcBorders>
              <w:bottom w:val="single" w:sz="4" w:space="0" w:color="auto"/>
              <w:right w:val="single" w:sz="4" w:space="0" w:color="auto"/>
            </w:tcBorders>
          </w:tcPr>
          <w:p w:rsidR="000E75B3" w:rsidRPr="000E75B3" w:rsidRDefault="003E24DC" w:rsidP="00F0136E">
            <w:pPr>
              <w:spacing w:before="160" w:after="160" w:line="240" w:lineRule="auto"/>
              <w:rPr>
                <w:b/>
                <w:sz w:val="28"/>
                <w:szCs w:val="28"/>
              </w:rPr>
            </w:pPr>
            <w:r>
              <w:lastRenderedPageBreak/>
              <w:br w:type="page"/>
            </w:r>
            <w:r>
              <w:rPr>
                <w:b/>
                <w:sz w:val="28"/>
                <w:szCs w:val="28"/>
              </w:rPr>
              <w:t>Outcomes to date</w:t>
            </w:r>
          </w:p>
        </w:tc>
        <w:tc>
          <w:tcPr>
            <w:tcW w:w="4187" w:type="pct"/>
            <w:tcBorders>
              <w:left w:val="single" w:sz="4" w:space="0" w:color="auto"/>
              <w:bottom w:val="single" w:sz="4" w:space="0" w:color="auto"/>
            </w:tcBorders>
          </w:tcPr>
          <w:p w:rsidR="000E75B3" w:rsidRDefault="00BF3B42" w:rsidP="00BF3B42">
            <w:pPr>
              <w:pStyle w:val="ListParagraph"/>
              <w:numPr>
                <w:ilvl w:val="0"/>
                <w:numId w:val="3"/>
              </w:numPr>
              <w:spacing w:before="160" w:line="240" w:lineRule="auto"/>
            </w:pPr>
            <w:r>
              <w:t>Baseline survey of healthcare professionals distributed and initial findings analysed. This survey identifies the existing skills and knowledge of health care professionals relating to mental health assessment and treatment.</w:t>
            </w:r>
          </w:p>
          <w:p w:rsidR="00BF3B42" w:rsidRDefault="00BF3B42" w:rsidP="00BF3B42">
            <w:pPr>
              <w:pStyle w:val="ListParagraph"/>
              <w:numPr>
                <w:ilvl w:val="0"/>
                <w:numId w:val="3"/>
              </w:numPr>
              <w:spacing w:before="160" w:line="240" w:lineRule="auto"/>
            </w:pPr>
            <w:r>
              <w:t>First trial site established; five other sites currently in discussions.</w:t>
            </w:r>
          </w:p>
          <w:p w:rsidR="00BF3B42" w:rsidRDefault="00BF3B42" w:rsidP="00BF3B42">
            <w:pPr>
              <w:pStyle w:val="ListParagraph"/>
              <w:numPr>
                <w:ilvl w:val="0"/>
                <w:numId w:val="3"/>
              </w:numPr>
              <w:spacing w:before="160" w:line="240" w:lineRule="auto"/>
            </w:pPr>
            <w:r>
              <w:t>Ethics applications developed and approved for the various research components.</w:t>
            </w:r>
          </w:p>
          <w:p w:rsidR="00BF3B42" w:rsidRDefault="00BF3B42" w:rsidP="00BF3B42">
            <w:pPr>
              <w:pStyle w:val="ListParagraph"/>
              <w:numPr>
                <w:ilvl w:val="0"/>
                <w:numId w:val="3"/>
              </w:numPr>
              <w:spacing w:before="160" w:line="240" w:lineRule="auto"/>
            </w:pPr>
            <w:r>
              <w:t>Developed a ‘patient journey’ storyboard template to communicate findings regarding the cost of care research.</w:t>
            </w:r>
          </w:p>
          <w:p w:rsidR="001820B8" w:rsidRDefault="001820B8" w:rsidP="001820B8">
            <w:pPr>
              <w:pStyle w:val="ListParagraph"/>
              <w:numPr>
                <w:ilvl w:val="0"/>
                <w:numId w:val="3"/>
              </w:numPr>
              <w:spacing w:before="160" w:line="240" w:lineRule="auto"/>
            </w:pPr>
            <w:r>
              <w:t>Established alliances and strong network of contacts with local, regional, national and international peak bodies to collaborate, share information and knowledge</w:t>
            </w:r>
            <w:r w:rsidR="00907DF1">
              <w:t>, this</w:t>
            </w:r>
            <w:r>
              <w:t xml:space="preserve"> has been rewarding and enriching for the project.</w:t>
            </w:r>
          </w:p>
          <w:p w:rsidR="001820B8" w:rsidRPr="003E24DC" w:rsidRDefault="001820B8" w:rsidP="001820B8">
            <w:pPr>
              <w:pStyle w:val="ListParagraph"/>
              <w:numPr>
                <w:ilvl w:val="0"/>
                <w:numId w:val="3"/>
              </w:numPr>
              <w:spacing w:before="160" w:line="240" w:lineRule="auto"/>
            </w:pPr>
            <w:r>
              <w:t>The strong relationship developed between Charles Sturt University and Amaranth Foundation has been mutually beneficial and formed the basis for ongoing research aspirations.</w:t>
            </w:r>
          </w:p>
        </w:tc>
      </w:tr>
      <w:tr w:rsidR="003E24DC" w:rsidRPr="000E75B3" w:rsidTr="001820B8">
        <w:trPr>
          <w:trHeight w:hRule="exact" w:val="4243"/>
        </w:trPr>
        <w:tc>
          <w:tcPr>
            <w:tcW w:w="813" w:type="pct"/>
            <w:tcBorders>
              <w:bottom w:val="single" w:sz="4" w:space="0" w:color="auto"/>
              <w:right w:val="single" w:sz="4" w:space="0" w:color="auto"/>
            </w:tcBorders>
          </w:tcPr>
          <w:p w:rsidR="003E24DC" w:rsidRDefault="001F1254" w:rsidP="003E24DC">
            <w:pPr>
              <w:spacing w:before="160" w:after="160" w:line="240" w:lineRule="auto"/>
              <w:rPr>
                <w:b/>
                <w:sz w:val="28"/>
                <w:szCs w:val="28"/>
              </w:rPr>
            </w:pPr>
            <w:r>
              <w:rPr>
                <w:b/>
                <w:sz w:val="28"/>
                <w:szCs w:val="28"/>
              </w:rPr>
              <w:t>Challenges &amp;</w:t>
            </w:r>
            <w:r w:rsidR="003E24DC">
              <w:rPr>
                <w:b/>
                <w:sz w:val="28"/>
                <w:szCs w:val="28"/>
              </w:rPr>
              <w:t xml:space="preserve"> lessons learnt</w:t>
            </w:r>
          </w:p>
          <w:p w:rsidR="00450D23" w:rsidRPr="00450D23" w:rsidRDefault="00450D23" w:rsidP="003E24DC">
            <w:pPr>
              <w:spacing w:before="160" w:after="160" w:line="240" w:lineRule="auto"/>
              <w:rPr>
                <w:i/>
                <w:sz w:val="16"/>
                <w:szCs w:val="16"/>
              </w:rPr>
            </w:pPr>
            <w:r>
              <w:rPr>
                <w:i/>
                <w:sz w:val="16"/>
                <w:szCs w:val="16"/>
              </w:rPr>
              <w:t>(</w:t>
            </w:r>
            <w:proofErr w:type="gramStart"/>
            <w:r>
              <w:rPr>
                <w:i/>
                <w:sz w:val="16"/>
                <w:szCs w:val="16"/>
              </w:rPr>
              <w:t>e.g</w:t>
            </w:r>
            <w:proofErr w:type="gramEnd"/>
            <w:r>
              <w:rPr>
                <w:i/>
                <w:sz w:val="16"/>
                <w:szCs w:val="16"/>
              </w:rPr>
              <w:t>. were there any difficulties which may assist others?)</w:t>
            </w:r>
          </w:p>
        </w:tc>
        <w:tc>
          <w:tcPr>
            <w:tcW w:w="4187" w:type="pct"/>
            <w:tcBorders>
              <w:left w:val="single" w:sz="4" w:space="0" w:color="auto"/>
              <w:bottom w:val="single" w:sz="4" w:space="0" w:color="auto"/>
            </w:tcBorders>
          </w:tcPr>
          <w:p w:rsidR="00C97DD0" w:rsidRDefault="00C97DD0" w:rsidP="00C97DD0">
            <w:pPr>
              <w:spacing w:before="160" w:line="240" w:lineRule="auto"/>
            </w:pPr>
            <w:r w:rsidRPr="00C97DD0">
              <w:rPr>
                <w:i/>
              </w:rPr>
              <w:t>Research</w:t>
            </w:r>
            <w:r>
              <w:t>: having a clear research protocol at the start helps to identify gaps in planning and clarify the research processes and outcomes. This also assist</w:t>
            </w:r>
            <w:r w:rsidR="0061196E">
              <w:t>s</w:t>
            </w:r>
            <w:r>
              <w:t xml:space="preserve"> with writing clear NEAF applications that are easily understood by the HREC, and therefore ethics clearance can be obtained more easily.</w:t>
            </w:r>
            <w:r w:rsidR="0061196E">
              <w:t xml:space="preserve"> </w:t>
            </w:r>
          </w:p>
          <w:p w:rsidR="00C97DD0" w:rsidRDefault="00C97DD0" w:rsidP="00C97DD0">
            <w:pPr>
              <w:spacing w:before="160" w:line="240" w:lineRule="auto"/>
            </w:pPr>
            <w:r w:rsidRPr="00C97DD0">
              <w:rPr>
                <w:i/>
              </w:rPr>
              <w:t>Consortium</w:t>
            </w:r>
            <w:r>
              <w:t xml:space="preserve">: </w:t>
            </w:r>
            <w:r w:rsidR="0061196E">
              <w:t xml:space="preserve">need to ensure clear Service Level Agreements between all consortium members are developed prior to the commencement of any work, where roles and responsibilities are clearly articulated and agreed to. Establishing strong governance early on is imperative. </w:t>
            </w:r>
          </w:p>
          <w:p w:rsidR="00C97DD0" w:rsidRDefault="00C97DD0" w:rsidP="00C97DD0">
            <w:pPr>
              <w:spacing w:before="160" w:line="240" w:lineRule="auto"/>
            </w:pPr>
            <w:r w:rsidRPr="00C97DD0">
              <w:rPr>
                <w:i/>
              </w:rPr>
              <w:t>Trial sites</w:t>
            </w:r>
            <w:r>
              <w:t xml:space="preserve">: we’ve learnt a lot about what needs to be communicated and to whom at the various stages of establishing a trial site. </w:t>
            </w:r>
            <w:r w:rsidR="0061196E">
              <w:t>Each health care setting has its own particular challenges, and while there are commonalities between the trial sites, we’ve had to develop particular pathways suitable to each health care setting.</w:t>
            </w:r>
            <w:bookmarkStart w:id="0" w:name="_GoBack"/>
            <w:bookmarkEnd w:id="0"/>
          </w:p>
          <w:p w:rsidR="0061196E" w:rsidRDefault="0061196E" w:rsidP="00C97DD0">
            <w:pPr>
              <w:spacing w:before="160" w:line="240" w:lineRule="auto"/>
            </w:pPr>
          </w:p>
          <w:p w:rsidR="0061196E" w:rsidRPr="003E24DC" w:rsidRDefault="0061196E" w:rsidP="00C97DD0">
            <w:pPr>
              <w:spacing w:before="160" w:line="240" w:lineRule="auto"/>
            </w:pPr>
          </w:p>
          <w:p w:rsidR="009026E7" w:rsidRPr="003E24DC" w:rsidRDefault="009026E7" w:rsidP="003E24DC">
            <w:pPr>
              <w:spacing w:before="160" w:after="160" w:line="240" w:lineRule="auto"/>
            </w:pPr>
          </w:p>
        </w:tc>
      </w:tr>
      <w:tr w:rsidR="003E24DC" w:rsidRPr="000E75B3" w:rsidTr="001820B8">
        <w:trPr>
          <w:trHeight w:hRule="exact" w:val="3123"/>
        </w:trPr>
        <w:tc>
          <w:tcPr>
            <w:tcW w:w="813" w:type="pct"/>
            <w:tcBorders>
              <w:bottom w:val="single" w:sz="4" w:space="0" w:color="auto"/>
              <w:right w:val="single" w:sz="4" w:space="0" w:color="auto"/>
            </w:tcBorders>
          </w:tcPr>
          <w:p w:rsidR="003E24DC" w:rsidRDefault="003E24DC" w:rsidP="003E24DC">
            <w:pPr>
              <w:spacing w:before="160" w:after="160" w:line="240" w:lineRule="auto"/>
              <w:rPr>
                <w:b/>
                <w:sz w:val="28"/>
                <w:szCs w:val="28"/>
              </w:rPr>
            </w:pPr>
            <w:r>
              <w:rPr>
                <w:b/>
                <w:sz w:val="28"/>
                <w:szCs w:val="28"/>
              </w:rPr>
              <w:t>Plans for 2016 and 2017</w:t>
            </w:r>
          </w:p>
        </w:tc>
        <w:tc>
          <w:tcPr>
            <w:tcW w:w="4187" w:type="pct"/>
            <w:tcBorders>
              <w:left w:val="single" w:sz="4" w:space="0" w:color="auto"/>
              <w:bottom w:val="single" w:sz="4" w:space="0" w:color="auto"/>
            </w:tcBorders>
          </w:tcPr>
          <w:p w:rsidR="00BF3B42" w:rsidRDefault="00BF3B42" w:rsidP="00BF3B42">
            <w:pPr>
              <w:spacing w:before="160" w:after="160" w:line="240" w:lineRule="auto"/>
            </w:pPr>
            <w:r>
              <w:t>Throughout 2016 we will be establishing the remaining trial sites and conducting research at each site. In addition, once training from Activity One is underway, we will be conducting follow up surveys with training participants to measure the change in MH skills and knowledge from the baseline survey. We are continuing to follow patients’ journeys and collate data on the costs of care.</w:t>
            </w:r>
          </w:p>
          <w:p w:rsidR="00BF3B42" w:rsidRDefault="00BF3B42" w:rsidP="00BF3B42">
            <w:pPr>
              <w:spacing w:before="160" w:after="160" w:line="240" w:lineRule="auto"/>
            </w:pPr>
            <w:r>
              <w:t>The aim is for all research to be completed by the end of 2016, with the first half of 2017 spent on collating and analysing findings.</w:t>
            </w:r>
            <w:r w:rsidR="0061196E">
              <w:t xml:space="preserve"> Throughout 2016 and 2017 we will be publishing research outcomes and presenting findings at relevant conferences.</w:t>
            </w:r>
          </w:p>
          <w:p w:rsidR="0061196E" w:rsidRPr="003E24DC" w:rsidRDefault="0061196E" w:rsidP="00BF3B42">
            <w:pPr>
              <w:spacing w:before="160" w:after="160" w:line="240" w:lineRule="auto"/>
            </w:pPr>
          </w:p>
        </w:tc>
      </w:tr>
    </w:tbl>
    <w:p w:rsidR="000E75B3" w:rsidRPr="00C35F05" w:rsidRDefault="000E75B3" w:rsidP="00C35F05">
      <w:pPr>
        <w:spacing w:after="0"/>
        <w:rPr>
          <w:sz w:val="2"/>
          <w:szCs w:val="2"/>
        </w:rPr>
      </w:pPr>
    </w:p>
    <w:sectPr w:rsidR="000E75B3" w:rsidRPr="00C35F05" w:rsidSect="00450D23">
      <w:footerReference w:type="default" r:id="rId8"/>
      <w:headerReference w:type="first" r:id="rId9"/>
      <w:footerReference w:type="first" r:id="rId10"/>
      <w:pgSz w:w="11906" w:h="16838"/>
      <w:pgMar w:top="1134" w:right="1440" w:bottom="1134" w:left="144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212" w:rsidRDefault="00961212" w:rsidP="0072523A">
      <w:r>
        <w:separator/>
      </w:r>
    </w:p>
  </w:endnote>
  <w:endnote w:type="continuationSeparator" w:id="0">
    <w:p w:rsidR="00961212" w:rsidRDefault="00961212" w:rsidP="0072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D23" w:rsidRPr="00967CD3" w:rsidRDefault="00450D23" w:rsidP="00450D23">
    <w:pPr>
      <w:pStyle w:val="Footer"/>
      <w:jc w:val="center"/>
      <w:rPr>
        <w:rFonts w:cs="Arial"/>
        <w:color w:val="999999"/>
        <w:sz w:val="16"/>
        <w:szCs w:val="16"/>
      </w:rPr>
    </w:pPr>
    <w:r w:rsidRPr="00967CD3">
      <w:rPr>
        <w:rFonts w:cs="Arial"/>
        <w:color w:val="999999"/>
        <w:sz w:val="16"/>
        <w:szCs w:val="16"/>
      </w:rPr>
      <w:t>Level 1, 21 Napier Close, Deakin, ACT 2600</w:t>
    </w:r>
  </w:p>
  <w:p w:rsidR="00450D23" w:rsidRPr="00967CD3" w:rsidRDefault="00450D23" w:rsidP="00450D23">
    <w:pPr>
      <w:pStyle w:val="Footer"/>
      <w:jc w:val="center"/>
      <w:rPr>
        <w:rFonts w:cs="Arial"/>
        <w:color w:val="999999"/>
        <w:sz w:val="16"/>
        <w:szCs w:val="16"/>
      </w:rPr>
    </w:pPr>
    <w:r w:rsidRPr="00967CD3">
      <w:rPr>
        <w:rFonts w:cs="Arial"/>
        <w:color w:val="999999"/>
        <w:sz w:val="16"/>
        <w:szCs w:val="16"/>
      </w:rPr>
      <w:t>PO Box 24 Deakin West, ACT 2600</w:t>
    </w:r>
  </w:p>
  <w:p w:rsidR="00450D23" w:rsidRPr="00967CD3" w:rsidRDefault="00450D23" w:rsidP="00450D23">
    <w:pPr>
      <w:pStyle w:val="Footer"/>
      <w:jc w:val="center"/>
      <w:rPr>
        <w:rFonts w:cs="Arial"/>
        <w:color w:val="999999"/>
        <w:sz w:val="16"/>
        <w:szCs w:val="16"/>
      </w:rPr>
    </w:pPr>
    <w:r w:rsidRPr="00967CD3">
      <w:rPr>
        <w:rFonts w:cs="Arial"/>
        <w:color w:val="999999"/>
        <w:sz w:val="16"/>
        <w:szCs w:val="16"/>
      </w:rPr>
      <w:t>ABN: 85 363 187 904</w:t>
    </w:r>
  </w:p>
  <w:p w:rsidR="00450D23" w:rsidRPr="00967CD3" w:rsidRDefault="00450D23" w:rsidP="00450D23">
    <w:pPr>
      <w:pStyle w:val="Footer"/>
      <w:jc w:val="center"/>
      <w:rPr>
        <w:rFonts w:cs="Arial"/>
        <w:color w:val="999999"/>
        <w:sz w:val="16"/>
        <w:szCs w:val="16"/>
      </w:rPr>
    </w:pPr>
    <w:proofErr w:type="gramStart"/>
    <w:r w:rsidRPr="00967CD3">
      <w:rPr>
        <w:rFonts w:cs="Arial"/>
        <w:color w:val="999999"/>
        <w:sz w:val="16"/>
        <w:szCs w:val="16"/>
      </w:rPr>
      <w:t>t</w:t>
    </w:r>
    <w:proofErr w:type="gramEnd"/>
    <w:r w:rsidRPr="00967CD3">
      <w:rPr>
        <w:rFonts w:cs="Arial"/>
        <w:color w:val="999999"/>
        <w:sz w:val="16"/>
        <w:szCs w:val="16"/>
      </w:rPr>
      <w:t xml:space="preserve">: +61 2 6232 4433 </w:t>
    </w:r>
    <w:r w:rsidRPr="00967CD3">
      <w:rPr>
        <w:rFonts w:cs="Arial"/>
        <w:color w:val="999999"/>
        <w:sz w:val="16"/>
        <w:szCs w:val="16"/>
      </w:rPr>
      <w:sym w:font="Symbol" w:char="F0E7"/>
    </w:r>
    <w:r w:rsidRPr="00967CD3">
      <w:rPr>
        <w:rFonts w:cs="Arial"/>
        <w:color w:val="999999"/>
        <w:sz w:val="16"/>
        <w:szCs w:val="16"/>
      </w:rPr>
      <w:t>f: +61 2 6232 4434</w:t>
    </w:r>
  </w:p>
  <w:p w:rsidR="00450D23" w:rsidRDefault="00450D23" w:rsidP="00450D23">
    <w:pPr>
      <w:pStyle w:val="Footer"/>
      <w:jc w:val="center"/>
      <w:rPr>
        <w:rStyle w:val="Hyperlink"/>
        <w:rFonts w:cs="Arial"/>
        <w:color w:val="808080"/>
        <w:sz w:val="16"/>
        <w:szCs w:val="16"/>
      </w:rPr>
    </w:pPr>
    <w:proofErr w:type="gramStart"/>
    <w:r w:rsidRPr="00967CD3">
      <w:rPr>
        <w:rFonts w:cs="Arial"/>
        <w:color w:val="808080"/>
        <w:sz w:val="16"/>
        <w:szCs w:val="16"/>
      </w:rPr>
      <w:t>w</w:t>
    </w:r>
    <w:proofErr w:type="gramEnd"/>
    <w:r w:rsidRPr="00967CD3">
      <w:rPr>
        <w:rFonts w:cs="Arial"/>
        <w:color w:val="808080"/>
        <w:sz w:val="16"/>
        <w:szCs w:val="16"/>
      </w:rPr>
      <w:t xml:space="preserve">: </w:t>
    </w:r>
    <w:hyperlink r:id="rId1" w:history="1">
      <w:r w:rsidRPr="00967CD3">
        <w:rPr>
          <w:rStyle w:val="Hyperlink"/>
          <w:rFonts w:cs="Arial"/>
          <w:color w:val="808080"/>
          <w:sz w:val="16"/>
          <w:szCs w:val="16"/>
        </w:rPr>
        <w:t>www.palliativecare.org.au</w:t>
      </w:r>
    </w:hyperlink>
    <w:r w:rsidRPr="00967CD3">
      <w:rPr>
        <w:rFonts w:cs="Arial"/>
        <w:color w:val="808080"/>
        <w:sz w:val="16"/>
        <w:szCs w:val="16"/>
      </w:rPr>
      <w:t xml:space="preserve"> </w:t>
    </w:r>
    <w:r w:rsidRPr="00967CD3">
      <w:rPr>
        <w:rFonts w:cs="Arial"/>
        <w:color w:val="808080"/>
        <w:sz w:val="16"/>
        <w:szCs w:val="16"/>
      </w:rPr>
      <w:sym w:font="Symbol" w:char="F0E7"/>
    </w:r>
    <w:r w:rsidRPr="00967CD3">
      <w:rPr>
        <w:rFonts w:cs="Arial"/>
        <w:color w:val="808080"/>
        <w:sz w:val="16"/>
        <w:szCs w:val="16"/>
      </w:rPr>
      <w:t xml:space="preserve">e: </w:t>
    </w:r>
    <w:hyperlink r:id="rId2" w:history="1">
      <w:r w:rsidRPr="00967CD3">
        <w:rPr>
          <w:rStyle w:val="Hyperlink"/>
          <w:rFonts w:cs="Arial"/>
          <w:color w:val="808080"/>
          <w:sz w:val="16"/>
          <w:szCs w:val="16"/>
        </w:rPr>
        <w:t>pcainc@palliativecare.org.au</w:t>
      </w:r>
    </w:hyperlink>
  </w:p>
  <w:p w:rsidR="007424DF" w:rsidRPr="007424DF" w:rsidRDefault="007424DF" w:rsidP="00450D23">
    <w:pPr>
      <w:pStyle w:val="Footer"/>
      <w:jc w:val="center"/>
      <w:rPr>
        <w:rFonts w:cs="Arial"/>
        <w:color w:val="999999"/>
        <w:sz w:val="6"/>
        <w:szCs w:val="6"/>
      </w:rPr>
    </w:pPr>
  </w:p>
  <w:p w:rsidR="007424DF" w:rsidRPr="00450D23" w:rsidRDefault="007424DF" w:rsidP="00450D23">
    <w:pPr>
      <w:pStyle w:val="Footer"/>
      <w:jc w:val="center"/>
      <w:rPr>
        <w:rFonts w:cs="Arial"/>
        <w:color w:val="808080"/>
        <w:sz w:val="16"/>
        <w:szCs w:val="16"/>
      </w:rPr>
    </w:pPr>
    <w:r w:rsidRPr="00C55EC6">
      <w:rPr>
        <w:color w:val="C00000"/>
        <w:sz w:val="15"/>
        <w:szCs w:val="15"/>
      </w:rPr>
      <w:t>Palliative Care Australia and the National P</w:t>
    </w:r>
    <w:r>
      <w:rPr>
        <w:color w:val="C00000"/>
        <w:sz w:val="15"/>
        <w:szCs w:val="15"/>
      </w:rPr>
      <w:t xml:space="preserve">alliative Care Grant Recipients’ </w:t>
    </w:r>
    <w:r w:rsidRPr="00C55EC6">
      <w:rPr>
        <w:color w:val="C00000"/>
        <w:sz w:val="15"/>
        <w:szCs w:val="15"/>
      </w:rPr>
      <w:t>Forum are funded by the Australian Government 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C65" w:rsidRPr="00967CD3" w:rsidRDefault="00804C65" w:rsidP="00804C65">
    <w:pPr>
      <w:pStyle w:val="Footer"/>
      <w:jc w:val="center"/>
      <w:rPr>
        <w:rFonts w:cs="Arial"/>
        <w:color w:val="999999"/>
        <w:sz w:val="16"/>
        <w:szCs w:val="16"/>
      </w:rPr>
    </w:pPr>
    <w:r w:rsidRPr="00967CD3">
      <w:rPr>
        <w:rFonts w:cs="Arial"/>
        <w:color w:val="999999"/>
        <w:sz w:val="16"/>
        <w:szCs w:val="16"/>
      </w:rPr>
      <w:t xml:space="preserve">Level </w:t>
    </w:r>
    <w:r w:rsidR="00F0136E" w:rsidRPr="00967CD3">
      <w:rPr>
        <w:rFonts w:cs="Arial"/>
        <w:color w:val="999999"/>
        <w:sz w:val="16"/>
        <w:szCs w:val="16"/>
      </w:rPr>
      <w:t>1, 21 Napier Close, Deakin, ACT</w:t>
    </w:r>
    <w:r w:rsidRPr="00967CD3">
      <w:rPr>
        <w:rFonts w:cs="Arial"/>
        <w:color w:val="999999"/>
        <w:sz w:val="16"/>
        <w:szCs w:val="16"/>
      </w:rPr>
      <w:t xml:space="preserve"> 2600</w:t>
    </w:r>
  </w:p>
  <w:p w:rsidR="00804C65" w:rsidRPr="00967CD3" w:rsidRDefault="00804C65" w:rsidP="00804C65">
    <w:pPr>
      <w:pStyle w:val="Footer"/>
      <w:jc w:val="center"/>
      <w:rPr>
        <w:rFonts w:cs="Arial"/>
        <w:color w:val="999999"/>
        <w:sz w:val="16"/>
        <w:szCs w:val="16"/>
      </w:rPr>
    </w:pPr>
    <w:r w:rsidRPr="00967CD3">
      <w:rPr>
        <w:rFonts w:cs="Arial"/>
        <w:color w:val="999999"/>
        <w:sz w:val="16"/>
        <w:szCs w:val="16"/>
      </w:rPr>
      <w:t>PO Box 24 Deakin West, ACT 2600</w:t>
    </w:r>
  </w:p>
  <w:p w:rsidR="00804C65" w:rsidRPr="00967CD3" w:rsidRDefault="00804C65" w:rsidP="00804C65">
    <w:pPr>
      <w:pStyle w:val="Footer"/>
      <w:jc w:val="center"/>
      <w:rPr>
        <w:rFonts w:cs="Arial"/>
        <w:color w:val="999999"/>
        <w:sz w:val="16"/>
        <w:szCs w:val="16"/>
      </w:rPr>
    </w:pPr>
    <w:r w:rsidRPr="00967CD3">
      <w:rPr>
        <w:rFonts w:cs="Arial"/>
        <w:color w:val="999999"/>
        <w:sz w:val="16"/>
        <w:szCs w:val="16"/>
      </w:rPr>
      <w:t>ABN: 85 363 187 904</w:t>
    </w:r>
  </w:p>
  <w:p w:rsidR="00804C65" w:rsidRPr="00967CD3" w:rsidRDefault="00804C65" w:rsidP="00804C65">
    <w:pPr>
      <w:pStyle w:val="Footer"/>
      <w:jc w:val="center"/>
      <w:rPr>
        <w:rFonts w:cs="Arial"/>
        <w:color w:val="999999"/>
        <w:sz w:val="16"/>
        <w:szCs w:val="16"/>
      </w:rPr>
    </w:pPr>
    <w:proofErr w:type="gramStart"/>
    <w:r w:rsidRPr="00967CD3">
      <w:rPr>
        <w:rFonts w:cs="Arial"/>
        <w:color w:val="999999"/>
        <w:sz w:val="16"/>
        <w:szCs w:val="16"/>
      </w:rPr>
      <w:t>t</w:t>
    </w:r>
    <w:proofErr w:type="gramEnd"/>
    <w:r w:rsidRPr="00967CD3">
      <w:rPr>
        <w:rFonts w:cs="Arial"/>
        <w:color w:val="999999"/>
        <w:sz w:val="16"/>
        <w:szCs w:val="16"/>
      </w:rPr>
      <w:t xml:space="preserve">: +61 2 6232 4433 </w:t>
    </w:r>
    <w:r w:rsidRPr="00967CD3">
      <w:rPr>
        <w:rFonts w:cs="Arial"/>
        <w:color w:val="999999"/>
        <w:sz w:val="16"/>
        <w:szCs w:val="16"/>
      </w:rPr>
      <w:sym w:font="Symbol" w:char="F0E7"/>
    </w:r>
    <w:r w:rsidRPr="00967CD3">
      <w:rPr>
        <w:rFonts w:cs="Arial"/>
        <w:color w:val="999999"/>
        <w:sz w:val="16"/>
        <w:szCs w:val="16"/>
      </w:rPr>
      <w:t>f: +61 2 6232 4434</w:t>
    </w:r>
  </w:p>
  <w:p w:rsidR="00110477" w:rsidRPr="00967CD3" w:rsidRDefault="00804C65" w:rsidP="00804C65">
    <w:pPr>
      <w:pStyle w:val="Footer"/>
      <w:jc w:val="center"/>
      <w:rPr>
        <w:rFonts w:cs="Arial"/>
        <w:color w:val="808080"/>
        <w:sz w:val="16"/>
        <w:szCs w:val="16"/>
      </w:rPr>
    </w:pPr>
    <w:proofErr w:type="gramStart"/>
    <w:r w:rsidRPr="00967CD3">
      <w:rPr>
        <w:rFonts w:cs="Arial"/>
        <w:color w:val="808080"/>
        <w:sz w:val="16"/>
        <w:szCs w:val="16"/>
      </w:rPr>
      <w:t>w</w:t>
    </w:r>
    <w:proofErr w:type="gramEnd"/>
    <w:r w:rsidRPr="00967CD3">
      <w:rPr>
        <w:rFonts w:cs="Arial"/>
        <w:color w:val="808080"/>
        <w:sz w:val="16"/>
        <w:szCs w:val="16"/>
      </w:rPr>
      <w:t xml:space="preserve">: </w:t>
    </w:r>
    <w:hyperlink r:id="rId1" w:history="1">
      <w:r w:rsidRPr="00967CD3">
        <w:rPr>
          <w:rStyle w:val="Hyperlink"/>
          <w:rFonts w:cs="Arial"/>
          <w:color w:val="808080"/>
          <w:sz w:val="16"/>
          <w:szCs w:val="16"/>
        </w:rPr>
        <w:t>www.palliativecare.org.au</w:t>
      </w:r>
    </w:hyperlink>
    <w:r w:rsidRPr="00967CD3">
      <w:rPr>
        <w:rFonts w:cs="Arial"/>
        <w:color w:val="808080"/>
        <w:sz w:val="16"/>
        <w:szCs w:val="16"/>
      </w:rPr>
      <w:t xml:space="preserve"> </w:t>
    </w:r>
    <w:r w:rsidRPr="00967CD3">
      <w:rPr>
        <w:rFonts w:cs="Arial"/>
        <w:color w:val="808080"/>
        <w:sz w:val="16"/>
        <w:szCs w:val="16"/>
      </w:rPr>
      <w:sym w:font="Symbol" w:char="F0E7"/>
    </w:r>
    <w:r w:rsidRPr="00967CD3">
      <w:rPr>
        <w:rFonts w:cs="Arial"/>
        <w:color w:val="808080"/>
        <w:sz w:val="16"/>
        <w:szCs w:val="16"/>
      </w:rPr>
      <w:t xml:space="preserve">e: </w:t>
    </w:r>
    <w:hyperlink r:id="rId2" w:history="1">
      <w:r w:rsidRPr="00967CD3">
        <w:rPr>
          <w:rStyle w:val="Hyperlink"/>
          <w:rFonts w:cs="Arial"/>
          <w:color w:val="808080"/>
          <w:sz w:val="16"/>
          <w:szCs w:val="16"/>
        </w:rPr>
        <w:t>pcainc@palliativecare.org.au</w:t>
      </w:r>
    </w:hyperlink>
    <w:r w:rsidRPr="00967CD3">
      <w:rPr>
        <w:rFonts w:cs="Arial"/>
        <w:color w:val="999999"/>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212" w:rsidRDefault="00961212" w:rsidP="0072523A">
      <w:r>
        <w:separator/>
      </w:r>
    </w:p>
  </w:footnote>
  <w:footnote w:type="continuationSeparator" w:id="0">
    <w:p w:rsidR="00961212" w:rsidRDefault="00961212" w:rsidP="00725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477" w:rsidRDefault="00110477" w:rsidP="0072523A">
    <w:pPr>
      <w:pStyle w:val="Header"/>
    </w:pPr>
    <w:r>
      <w:rPr>
        <w:noProof/>
        <w:lang w:eastAsia="en-AU"/>
      </w:rPr>
      <w:drawing>
        <wp:anchor distT="0" distB="0" distL="114300" distR="114300" simplePos="0" relativeHeight="251663360" behindDoc="1" locked="0" layoutInCell="1" allowOverlap="1" wp14:anchorId="49C25FFA" wp14:editId="40E8DB74">
          <wp:simplePos x="0" y="0"/>
          <wp:positionH relativeFrom="page">
            <wp:align>right</wp:align>
          </wp:positionH>
          <wp:positionV relativeFrom="paragraph">
            <wp:posOffset>-422910</wp:posOffset>
          </wp:positionV>
          <wp:extent cx="2341245" cy="1390650"/>
          <wp:effectExtent l="0" t="0" r="1905" b="0"/>
          <wp:wrapTight wrapText="bothSides">
            <wp:wrapPolygon edited="0">
              <wp:start x="0" y="0"/>
              <wp:lineTo x="0" y="21304"/>
              <wp:lineTo x="21442" y="21304"/>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6124"/>
                  <a:stretch/>
                </pic:blipFill>
                <pic:spPr bwMode="auto">
                  <a:xfrm>
                    <a:off x="0" y="0"/>
                    <a:ext cx="2341245"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267AA"/>
    <w:multiLevelType w:val="hybridMultilevel"/>
    <w:tmpl w:val="6CC4FE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466A48"/>
    <w:multiLevelType w:val="hybridMultilevel"/>
    <w:tmpl w:val="371EE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98F5585"/>
    <w:multiLevelType w:val="hybridMultilevel"/>
    <w:tmpl w:val="9B02170A"/>
    <w:lvl w:ilvl="0" w:tplc="98428FA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12"/>
    <w:rsid w:val="000375EC"/>
    <w:rsid w:val="00092537"/>
    <w:rsid w:val="000948D6"/>
    <w:rsid w:val="000E75B3"/>
    <w:rsid w:val="00110477"/>
    <w:rsid w:val="001820B8"/>
    <w:rsid w:val="001C5BD9"/>
    <w:rsid w:val="001F1254"/>
    <w:rsid w:val="002403C5"/>
    <w:rsid w:val="00291386"/>
    <w:rsid w:val="002A7C53"/>
    <w:rsid w:val="003B1886"/>
    <w:rsid w:val="003E24DC"/>
    <w:rsid w:val="003F3366"/>
    <w:rsid w:val="00416B9C"/>
    <w:rsid w:val="00421B9D"/>
    <w:rsid w:val="004344F5"/>
    <w:rsid w:val="00435A80"/>
    <w:rsid w:val="00450D23"/>
    <w:rsid w:val="004B72B6"/>
    <w:rsid w:val="004C27A8"/>
    <w:rsid w:val="004F1ADB"/>
    <w:rsid w:val="005410BC"/>
    <w:rsid w:val="005D552A"/>
    <w:rsid w:val="005E541D"/>
    <w:rsid w:val="005F3963"/>
    <w:rsid w:val="0061196E"/>
    <w:rsid w:val="00667311"/>
    <w:rsid w:val="00685614"/>
    <w:rsid w:val="0072079C"/>
    <w:rsid w:val="00725061"/>
    <w:rsid w:val="0072523A"/>
    <w:rsid w:val="007424DF"/>
    <w:rsid w:val="007D14B4"/>
    <w:rsid w:val="007F464A"/>
    <w:rsid w:val="00804C65"/>
    <w:rsid w:val="00822C48"/>
    <w:rsid w:val="0084016E"/>
    <w:rsid w:val="008823B5"/>
    <w:rsid w:val="0089560A"/>
    <w:rsid w:val="008A1777"/>
    <w:rsid w:val="008D4757"/>
    <w:rsid w:val="008F6722"/>
    <w:rsid w:val="009026E7"/>
    <w:rsid w:val="00902F17"/>
    <w:rsid w:val="00907DF1"/>
    <w:rsid w:val="00914180"/>
    <w:rsid w:val="00934176"/>
    <w:rsid w:val="00961212"/>
    <w:rsid w:val="00967CD3"/>
    <w:rsid w:val="00A262D3"/>
    <w:rsid w:val="00A365AC"/>
    <w:rsid w:val="00A77DCF"/>
    <w:rsid w:val="00AB0875"/>
    <w:rsid w:val="00AB49EB"/>
    <w:rsid w:val="00B21257"/>
    <w:rsid w:val="00B37DFE"/>
    <w:rsid w:val="00B45F75"/>
    <w:rsid w:val="00BF3B42"/>
    <w:rsid w:val="00C35F05"/>
    <w:rsid w:val="00C97DD0"/>
    <w:rsid w:val="00CF6693"/>
    <w:rsid w:val="00D54478"/>
    <w:rsid w:val="00D6399B"/>
    <w:rsid w:val="00D8655E"/>
    <w:rsid w:val="00D946C0"/>
    <w:rsid w:val="00DF0C80"/>
    <w:rsid w:val="00E34652"/>
    <w:rsid w:val="00E34AB4"/>
    <w:rsid w:val="00E54CCC"/>
    <w:rsid w:val="00E63FD0"/>
    <w:rsid w:val="00E734CD"/>
    <w:rsid w:val="00E97A86"/>
    <w:rsid w:val="00EE097B"/>
    <w:rsid w:val="00F0136E"/>
    <w:rsid w:val="00F314C7"/>
    <w:rsid w:val="00F52EC4"/>
    <w:rsid w:val="00FA36F8"/>
    <w:rsid w:val="00FC0302"/>
    <w:rsid w:val="00FF6A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B8C65B0E-ED2F-4C47-89EF-A93EE23B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23A"/>
    <w:pPr>
      <w:spacing w:line="276" w:lineRule="auto"/>
    </w:pPr>
  </w:style>
  <w:style w:type="paragraph" w:styleId="Heading1">
    <w:name w:val="heading 1"/>
    <w:aliases w:val="Heading"/>
    <w:basedOn w:val="Heading2"/>
    <w:next w:val="Normal"/>
    <w:link w:val="Heading1Char"/>
    <w:uiPriority w:val="9"/>
    <w:qFormat/>
    <w:rsid w:val="00961212"/>
    <w:pPr>
      <w:outlineLvl w:val="0"/>
    </w:pPr>
  </w:style>
  <w:style w:type="paragraph" w:styleId="Heading2">
    <w:name w:val="heading 2"/>
    <w:basedOn w:val="Normal"/>
    <w:next w:val="Normal"/>
    <w:link w:val="Heading2Char"/>
    <w:uiPriority w:val="9"/>
    <w:unhideWhenUsed/>
    <w:rsid w:val="00961212"/>
    <w:pPr>
      <w:pBdr>
        <w:bottom w:val="single" w:sz="4" w:space="1" w:color="auto"/>
      </w:pBdr>
      <w:spacing w:before="200" w:after="200" w:line="360" w:lineRule="auto"/>
      <w:outlineLvl w:val="1"/>
    </w:pPr>
    <w:rPr>
      <w:b/>
      <w:color w:val="FF4539"/>
      <w:sz w:val="36"/>
      <w:szCs w:val="36"/>
    </w:rPr>
  </w:style>
  <w:style w:type="paragraph" w:styleId="Heading3">
    <w:name w:val="heading 3"/>
    <w:aliases w:val="Sub-heading"/>
    <w:basedOn w:val="Normal"/>
    <w:next w:val="Normal"/>
    <w:link w:val="Heading3Char"/>
    <w:uiPriority w:val="9"/>
    <w:unhideWhenUsed/>
    <w:qFormat/>
    <w:rsid w:val="00961212"/>
    <w:pPr>
      <w:spacing w:after="200"/>
      <w:outlineLvl w:val="2"/>
    </w:pPr>
    <w:rPr>
      <w:b/>
      <w:color w:val="FF4539"/>
      <w:sz w:val="28"/>
      <w:szCs w:val="28"/>
    </w:rPr>
  </w:style>
  <w:style w:type="paragraph" w:styleId="Heading4">
    <w:name w:val="heading 4"/>
    <w:aliases w:val="Sub-heading 2"/>
    <w:basedOn w:val="Heading3"/>
    <w:next w:val="Normal"/>
    <w:link w:val="Heading4Char"/>
    <w:uiPriority w:val="9"/>
    <w:unhideWhenUsed/>
    <w:qFormat/>
    <w:rsid w:val="00961212"/>
    <w:pPr>
      <w:outlineLvl w:val="3"/>
    </w:pPr>
    <w:rPr>
      <w:color w:val="0030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1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212"/>
  </w:style>
  <w:style w:type="paragraph" w:styleId="Footer">
    <w:name w:val="footer"/>
    <w:basedOn w:val="Normal"/>
    <w:link w:val="FooterChar"/>
    <w:unhideWhenUsed/>
    <w:rsid w:val="00961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212"/>
  </w:style>
  <w:style w:type="character" w:styleId="Emphasis">
    <w:name w:val="Emphasis"/>
    <w:aliases w:val="PCA"/>
    <w:uiPriority w:val="20"/>
    <w:qFormat/>
    <w:rsid w:val="00961212"/>
    <w:rPr>
      <w:b/>
      <w:color w:val="003057"/>
    </w:rPr>
  </w:style>
  <w:style w:type="paragraph" w:styleId="Title">
    <w:name w:val="Title"/>
    <w:basedOn w:val="Normal"/>
    <w:next w:val="Normal"/>
    <w:link w:val="TitleChar"/>
    <w:uiPriority w:val="10"/>
    <w:qFormat/>
    <w:rsid w:val="004C27A8"/>
    <w:pPr>
      <w:spacing w:before="600" w:after="200"/>
    </w:pPr>
    <w:rPr>
      <w:b/>
      <w:color w:val="003057"/>
      <w:sz w:val="48"/>
      <w:szCs w:val="48"/>
    </w:rPr>
  </w:style>
  <w:style w:type="character" w:customStyle="1" w:styleId="TitleChar">
    <w:name w:val="Title Char"/>
    <w:basedOn w:val="DefaultParagraphFont"/>
    <w:link w:val="Title"/>
    <w:uiPriority w:val="10"/>
    <w:rsid w:val="004C27A8"/>
    <w:rPr>
      <w:b/>
      <w:color w:val="003057"/>
      <w:sz w:val="48"/>
      <w:szCs w:val="48"/>
    </w:rPr>
  </w:style>
  <w:style w:type="character" w:customStyle="1" w:styleId="Heading2Char">
    <w:name w:val="Heading 2 Char"/>
    <w:basedOn w:val="DefaultParagraphFont"/>
    <w:link w:val="Heading2"/>
    <w:uiPriority w:val="9"/>
    <w:rsid w:val="00961212"/>
    <w:rPr>
      <w:b/>
      <w:color w:val="FF4539"/>
      <w:sz w:val="36"/>
      <w:szCs w:val="36"/>
    </w:rPr>
  </w:style>
  <w:style w:type="character" w:customStyle="1" w:styleId="Heading1Char">
    <w:name w:val="Heading 1 Char"/>
    <w:aliases w:val="Heading Char"/>
    <w:basedOn w:val="DefaultParagraphFont"/>
    <w:link w:val="Heading1"/>
    <w:uiPriority w:val="9"/>
    <w:rsid w:val="00961212"/>
    <w:rPr>
      <w:b/>
      <w:color w:val="FF4539"/>
      <w:sz w:val="36"/>
      <w:szCs w:val="36"/>
    </w:rPr>
  </w:style>
  <w:style w:type="character" w:customStyle="1" w:styleId="Heading3Char">
    <w:name w:val="Heading 3 Char"/>
    <w:aliases w:val="Sub-heading Char"/>
    <w:basedOn w:val="DefaultParagraphFont"/>
    <w:link w:val="Heading3"/>
    <w:uiPriority w:val="9"/>
    <w:rsid w:val="00961212"/>
    <w:rPr>
      <w:b/>
      <w:color w:val="FF4539"/>
      <w:sz w:val="28"/>
      <w:szCs w:val="28"/>
    </w:rPr>
  </w:style>
  <w:style w:type="paragraph" w:styleId="ListParagraph">
    <w:name w:val="List Paragraph"/>
    <w:basedOn w:val="Normal"/>
    <w:uiPriority w:val="34"/>
    <w:qFormat/>
    <w:rsid w:val="00961212"/>
    <w:pPr>
      <w:ind w:left="720"/>
      <w:contextualSpacing/>
    </w:pPr>
  </w:style>
  <w:style w:type="character" w:customStyle="1" w:styleId="Heading4Char">
    <w:name w:val="Heading 4 Char"/>
    <w:aliases w:val="Sub-heading 2 Char"/>
    <w:basedOn w:val="DefaultParagraphFont"/>
    <w:link w:val="Heading4"/>
    <w:uiPriority w:val="9"/>
    <w:rsid w:val="00961212"/>
    <w:rPr>
      <w:b/>
      <w:color w:val="003057"/>
      <w:sz w:val="28"/>
      <w:szCs w:val="28"/>
    </w:rPr>
  </w:style>
  <w:style w:type="paragraph" w:styleId="FootnoteText">
    <w:name w:val="footnote text"/>
    <w:basedOn w:val="Normal"/>
    <w:link w:val="FootnoteTextChar"/>
    <w:uiPriority w:val="99"/>
    <w:semiHidden/>
    <w:unhideWhenUsed/>
    <w:rsid w:val="00037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5EC"/>
    <w:rPr>
      <w:sz w:val="20"/>
      <w:szCs w:val="20"/>
    </w:rPr>
  </w:style>
  <w:style w:type="character" w:styleId="FootnoteReference">
    <w:name w:val="footnote reference"/>
    <w:basedOn w:val="DefaultParagraphFont"/>
    <w:uiPriority w:val="99"/>
    <w:semiHidden/>
    <w:unhideWhenUsed/>
    <w:rsid w:val="000375EC"/>
    <w:rPr>
      <w:vertAlign w:val="superscript"/>
    </w:rPr>
  </w:style>
  <w:style w:type="character" w:styleId="Hyperlink">
    <w:name w:val="Hyperlink"/>
    <w:basedOn w:val="DefaultParagraphFont"/>
    <w:uiPriority w:val="99"/>
    <w:unhideWhenUsed/>
    <w:rsid w:val="00914180"/>
    <w:rPr>
      <w:color w:val="0563C1" w:themeColor="hyperlink"/>
      <w:u w:val="single"/>
    </w:rPr>
  </w:style>
  <w:style w:type="character" w:styleId="SubtleEmphasis">
    <w:name w:val="Subtle Emphasis"/>
    <w:basedOn w:val="DefaultParagraphFont"/>
    <w:uiPriority w:val="19"/>
    <w:qFormat/>
    <w:rsid w:val="00EE097B"/>
    <w:rPr>
      <w:i/>
      <w:iCs/>
      <w:color w:val="404040" w:themeColor="text1" w:themeTint="BF"/>
    </w:rPr>
  </w:style>
  <w:style w:type="paragraph" w:styleId="Subtitle">
    <w:name w:val="Subtitle"/>
    <w:aliases w:val="Footnoting"/>
    <w:basedOn w:val="FootnoteText"/>
    <w:next w:val="Normal"/>
    <w:link w:val="SubtitleChar"/>
    <w:uiPriority w:val="11"/>
    <w:qFormat/>
    <w:rsid w:val="00EE097B"/>
    <w:rPr>
      <w:sz w:val="16"/>
      <w:szCs w:val="16"/>
    </w:rPr>
  </w:style>
  <w:style w:type="character" w:customStyle="1" w:styleId="SubtitleChar">
    <w:name w:val="Subtitle Char"/>
    <w:aliases w:val="Footnoting Char"/>
    <w:basedOn w:val="DefaultParagraphFont"/>
    <w:link w:val="Subtitle"/>
    <w:uiPriority w:val="11"/>
    <w:rsid w:val="00EE097B"/>
    <w:rPr>
      <w:sz w:val="16"/>
      <w:szCs w:val="16"/>
    </w:rPr>
  </w:style>
  <w:style w:type="table" w:styleId="TableGrid">
    <w:name w:val="Table Grid"/>
    <w:basedOn w:val="TableNormal"/>
    <w:uiPriority w:val="39"/>
    <w:rsid w:val="000E7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5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F05"/>
    <w:rPr>
      <w:rFonts w:ascii="Segoe UI" w:hAnsi="Segoe UI" w:cs="Segoe UI"/>
      <w:sz w:val="18"/>
      <w:szCs w:val="18"/>
    </w:rPr>
  </w:style>
  <w:style w:type="character" w:styleId="PlaceholderText">
    <w:name w:val="Placeholder Text"/>
    <w:basedOn w:val="DefaultParagraphFont"/>
    <w:uiPriority w:val="99"/>
    <w:semiHidden/>
    <w:rsid w:val="002913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3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cainc@palliativecare.org.au" TargetMode="External"/><Relationship Id="rId1" Type="http://schemas.openxmlformats.org/officeDocument/2006/relationships/hyperlink" Target="http://www.palliativecare.org.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cainc@palliativecare.org.au" TargetMode="External"/><Relationship Id="rId1" Type="http://schemas.openxmlformats.org/officeDocument/2006/relationships/hyperlink" Target="http://www.palliativecare.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25A445215D4C56AF44CBB95D2CA197"/>
        <w:category>
          <w:name w:val="General"/>
          <w:gallery w:val="placeholder"/>
        </w:category>
        <w:types>
          <w:type w:val="bbPlcHdr"/>
        </w:types>
        <w:behaviors>
          <w:behavior w:val="content"/>
        </w:behaviors>
        <w:guid w:val="{6A92A20A-A95B-47FB-97BA-DE20E2C8B8E3}"/>
      </w:docPartPr>
      <w:docPartBody>
        <w:p w:rsidR="00EF57F6" w:rsidRDefault="004B59FC" w:rsidP="004B59FC">
          <w:pPr>
            <w:pStyle w:val="9B25A445215D4C56AF44CBB95D2CA1972"/>
          </w:pPr>
          <w:r w:rsidRPr="00782D0B">
            <w:rPr>
              <w:rStyle w:val="PlaceholderText"/>
            </w:rPr>
            <w:t xml:space="preserve">Choose </w:t>
          </w:r>
          <w:r>
            <w:rPr>
              <w:rStyle w:val="PlaceholderText"/>
            </w:rPr>
            <w:t>your project (click here and a drop down menu will appear).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FC"/>
    <w:rsid w:val="004B59FC"/>
    <w:rsid w:val="00EF57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9FC"/>
    <w:rPr>
      <w:color w:val="808080"/>
    </w:rPr>
  </w:style>
  <w:style w:type="paragraph" w:customStyle="1" w:styleId="9B25A445215D4C56AF44CBB95D2CA197">
    <w:name w:val="9B25A445215D4C56AF44CBB95D2CA197"/>
    <w:rsid w:val="004B59FC"/>
    <w:pPr>
      <w:spacing w:line="276" w:lineRule="auto"/>
    </w:pPr>
    <w:rPr>
      <w:rFonts w:eastAsiaTheme="minorHAnsi"/>
      <w:lang w:eastAsia="en-US"/>
    </w:rPr>
  </w:style>
  <w:style w:type="paragraph" w:customStyle="1" w:styleId="9B25A445215D4C56AF44CBB95D2CA1971">
    <w:name w:val="9B25A445215D4C56AF44CBB95D2CA1971"/>
    <w:rsid w:val="004B59FC"/>
    <w:pPr>
      <w:spacing w:line="276" w:lineRule="auto"/>
    </w:pPr>
    <w:rPr>
      <w:rFonts w:eastAsiaTheme="minorHAnsi"/>
      <w:lang w:eastAsia="en-US"/>
    </w:rPr>
  </w:style>
  <w:style w:type="paragraph" w:customStyle="1" w:styleId="9B25A445215D4C56AF44CBB95D2CA1972">
    <w:name w:val="9B25A445215D4C56AF44CBB95D2CA1972"/>
    <w:rsid w:val="004B59FC"/>
    <w:pPr>
      <w:spacing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B5A0E-F1F6-43DC-995D-33B19E52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Forward.IT PTY LTD</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Ognenovski</dc:creator>
  <cp:keywords/>
  <dc:description/>
  <cp:lastModifiedBy>Smith, Kirsty</cp:lastModifiedBy>
  <cp:revision>5</cp:revision>
  <cp:lastPrinted>2016-03-11T02:32:00Z</cp:lastPrinted>
  <dcterms:created xsi:type="dcterms:W3CDTF">2016-03-22T05:45:00Z</dcterms:created>
  <dcterms:modified xsi:type="dcterms:W3CDTF">2016-03-29T00:03:00Z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lauren@palliativecare.org.au@www.mendeley.com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